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F2C49C">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福建众创车联网络科技有限公司</w:t>
      </w:r>
    </w:p>
    <w:p w14:paraId="094E928E">
      <w:pPr>
        <w:keepNext w:val="0"/>
        <w:keepLines w:val="0"/>
        <w:pageBreakBefore w:val="0"/>
        <w:widowControl/>
        <w:suppressLineNumbers w:val="0"/>
        <w:kinsoku/>
        <w:wordWrap/>
        <w:overflowPunct/>
        <w:topLinePunct w:val="0"/>
        <w:autoSpaceDE/>
        <w:autoSpaceDN/>
        <w:bidi w:val="0"/>
        <w:adjustRightInd/>
        <w:snapToGrid/>
        <w:spacing w:line="570" w:lineRule="exact"/>
        <w:ind w:firstLine="2008" w:firstLineChars="500"/>
        <w:jc w:val="left"/>
        <w:textAlignment w:val="auto"/>
        <w:rPr>
          <w:rFonts w:hint="eastAsia" w:asciiTheme="majorEastAsia" w:hAnsiTheme="majorEastAsia" w:eastAsiaTheme="majorEastAsia" w:cstheme="majorEastAsia"/>
          <w:b/>
          <w:bCs/>
          <w:sz w:val="40"/>
          <w:szCs w:val="40"/>
          <w:lang w:val="en-US" w:eastAsia="zh-CN"/>
        </w:rPr>
      </w:pPr>
    </w:p>
    <w:p w14:paraId="2430B6C6">
      <w:pPr>
        <w:keepNext w:val="0"/>
        <w:keepLines w:val="0"/>
        <w:pageBreakBefore w:val="0"/>
        <w:widowControl/>
        <w:numPr>
          <w:ilvl w:val="0"/>
          <w:numId w:val="1"/>
        </w:numPr>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公司介绍及荣誉</w:t>
      </w:r>
    </w:p>
    <w:p w14:paraId="68FF802B">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福建众创车联网络科技有限公司（简称“汽配云”），成立于2014年，是中国领先的汽配产业商业智能平台，为汽配产业上中下游的汽配厂商、汽配流通商、维修厂提供行业数智化解决方案及产业数字化转型升级赋能。链接了中国超过30万+汽配产业上、中、下游企业（包括江淮汽车、一汽解放、玉柴、潍柴、铁流股份、岱高、博世等头部企业），公司客户已覆盖全国31个省、直辖市、自治区及20+“一带一路”和“金砖”国家，并沉淀汽配产业最完整的车配关系数据与产业供应链交易数据（2023年度平台产业数据：交易订单GMV700亿+，单日实时库存300亿+，累计在线支付GMV10亿+）。</w:t>
      </w:r>
    </w:p>
    <w:p w14:paraId="653A41E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eastAsiaTheme="minorEastAsia" w:cstheme="minorEastAsia"/>
          <w:b w:val="0"/>
          <w:bCs w:val="0"/>
          <w:sz w:val="32"/>
          <w:szCs w:val="32"/>
          <w:lang w:val="en-US" w:eastAsia="zh-CN"/>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668905" cy="2668905"/>
            <wp:effectExtent l="0" t="0" r="23495" b="23495"/>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4"/>
                    <a:stretch>
                      <a:fillRect/>
                    </a:stretch>
                  </pic:blipFill>
                  <pic:spPr>
                    <a:xfrm>
                      <a:off x="0" y="0"/>
                      <a:ext cx="2668905" cy="2668905"/>
                    </a:xfrm>
                    <a:prstGeom prst="rect">
                      <a:avLst/>
                    </a:prstGeom>
                    <a:noFill/>
                    <a:ln w="9525">
                      <a:noFill/>
                    </a:ln>
                  </pic:spPr>
                </pic:pic>
              </a:graphicData>
            </a:graphic>
          </wp:inline>
        </w:drawing>
      </w:r>
    </w:p>
    <w:p w14:paraId="4A757B41">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val="0"/>
          <w:bCs w:val="0"/>
          <w:sz w:val="32"/>
          <w:szCs w:val="32"/>
          <w:lang w:val="en-US" w:eastAsia="zh-CN"/>
        </w:rPr>
        <w:t>2018年度获得“厦门市高新技术企业”、2020年获得”国家高新技术企业”、2022年度获得“厦门市专精特新中小企业”，2023年度获得”厦门科技中小企业”、”福建省数字经济瞪羚企业”、“福建省科技小巨人”等荣誉。</w:t>
      </w:r>
    </w:p>
    <w:p w14:paraId="30B6FDCE">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pPr>
    </w:p>
    <w:p w14:paraId="287E7E41">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cstheme="minorEastAsia"/>
          <w:b/>
          <w:bCs/>
          <w:sz w:val="36"/>
          <w:szCs w:val="36"/>
          <w:lang w:val="en-US" w:eastAsia="zh-CN"/>
        </w:rPr>
      </w:pPr>
      <w:r>
        <w:drawing>
          <wp:inline distT="0" distB="0" distL="114300" distR="114300">
            <wp:extent cx="5168265" cy="2877185"/>
            <wp:effectExtent l="0" t="0" r="13335" b="184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5"/>
                    <a:stretch>
                      <a:fillRect/>
                    </a:stretch>
                  </pic:blipFill>
                  <pic:spPr>
                    <a:xfrm>
                      <a:off x="0" y="0"/>
                      <a:ext cx="5168265" cy="2877185"/>
                    </a:xfrm>
                    <a:prstGeom prst="rect">
                      <a:avLst/>
                    </a:prstGeom>
                    <a:noFill/>
                    <a:ln>
                      <a:noFill/>
                    </a:ln>
                  </pic:spPr>
                </pic:pic>
              </a:graphicData>
            </a:graphic>
          </wp:inline>
        </w:drawing>
      </w:r>
    </w:p>
    <w:p w14:paraId="54B3D7C5">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heme="minorEastAsia" w:hAnsiTheme="minorEastAsia" w:cstheme="minorEastAsia"/>
          <w:b w:val="0"/>
          <w:bCs w:val="0"/>
          <w:sz w:val="32"/>
          <w:szCs w:val="32"/>
          <w:lang w:val="en-US" w:eastAsia="zh-CN"/>
        </w:rPr>
      </w:pPr>
      <w:r>
        <w:rPr>
          <w:rFonts w:hint="eastAsia" w:ascii="黑体" w:hAnsi="黑体" w:eastAsia="黑体" w:cs="黑体"/>
          <w:b/>
          <w:bCs/>
          <w:sz w:val="32"/>
          <w:szCs w:val="32"/>
          <w:lang w:val="en-US" w:eastAsia="zh-CN"/>
        </w:rPr>
        <w:t>二、核心产品矩阵</w:t>
      </w:r>
      <w:r>
        <w:rPr>
          <w:rFonts w:hint="eastAsia" w:asciiTheme="minorEastAsia" w:hAnsiTheme="minorEastAsia" w:cstheme="minorEastAsia"/>
          <w:b w:val="0"/>
          <w:bCs w:val="0"/>
          <w:sz w:val="32"/>
          <w:szCs w:val="32"/>
          <w:lang w:val="en-US" w:eastAsia="zh-CN"/>
        </w:rPr>
        <w:t>‌</w:t>
      </w:r>
    </w:p>
    <w:p w14:paraId="258A973F">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heme="minorEastAsia" w:hAnsiTheme="minorEastAsia" w:cstheme="minorEastAsia"/>
          <w:b w:val="0"/>
          <w:bCs w:val="0"/>
          <w:sz w:val="32"/>
          <w:szCs w:val="32"/>
          <w:lang w:val="en-US" w:eastAsia="zh-CN"/>
        </w:rPr>
      </w:pPr>
      <w:r>
        <w:rPr>
          <w:rFonts w:hint="eastAsia" w:ascii="楷体" w:hAnsi="楷体" w:eastAsia="楷体" w:cs="楷体"/>
          <w:b/>
          <w:bCs/>
          <w:sz w:val="32"/>
          <w:szCs w:val="32"/>
          <w:lang w:val="en-US" w:eastAsia="zh-CN"/>
        </w:rPr>
        <w:t>1.智能进销存管理</w:t>
      </w:r>
      <w:r>
        <w:rPr>
          <w:rFonts w:hint="eastAsia" w:asciiTheme="minorEastAsia" w:hAnsiTheme="minorEastAsia" w:cstheme="minorEastAsia"/>
          <w:b w:val="0"/>
          <w:bCs w:val="0"/>
          <w:sz w:val="32"/>
          <w:szCs w:val="32"/>
          <w:lang w:val="en-US" w:eastAsia="zh-CN"/>
        </w:rPr>
        <w:t>‌</w:t>
      </w:r>
    </w:p>
    <w:p w14:paraId="412346E4">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库存优化‌：AI算法预测配件需求，自动触发补货提醒，减少滞销与缺货，库存周转率提升显著。</w:t>
      </w:r>
    </w:p>
    <w:p w14:paraId="75F08E16">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精准盘点‌：支持扫码盘点，误差率低于0.5%，盘点效率提升3倍。</w:t>
      </w:r>
    </w:p>
    <w:p w14:paraId="70FF2486">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多仓库协同‌：连锁门店可共享库存数据，避免跨区域调货延误。</w:t>
      </w:r>
    </w:p>
    <w:p w14:paraId="2F98917D">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heme="minorEastAsia" w:hAnsiTheme="minorEastAsia" w:cstheme="minorEastAsia"/>
          <w:b w:val="0"/>
          <w:bCs w:val="0"/>
          <w:sz w:val="32"/>
          <w:szCs w:val="32"/>
          <w:lang w:val="en-US" w:eastAsia="zh-CN"/>
        </w:rPr>
      </w:pPr>
      <w:r>
        <w:rPr>
          <w:rFonts w:hint="eastAsia" w:ascii="楷体" w:hAnsi="楷体" w:eastAsia="楷体" w:cs="楷体"/>
          <w:b/>
          <w:bCs/>
          <w:sz w:val="32"/>
          <w:szCs w:val="32"/>
          <w:lang w:val="en-US" w:eastAsia="zh-CN"/>
        </w:rPr>
        <w:t>2.供应链协同平台</w:t>
      </w:r>
      <w:r>
        <w:rPr>
          <w:rFonts w:hint="eastAsia" w:asciiTheme="minorEastAsia" w:hAnsiTheme="minorEastAsia" w:cstheme="minorEastAsia"/>
          <w:b w:val="0"/>
          <w:bCs w:val="0"/>
          <w:sz w:val="32"/>
          <w:szCs w:val="32"/>
          <w:lang w:val="en-US" w:eastAsia="zh-CN"/>
        </w:rPr>
        <w:t>‌</w:t>
      </w:r>
    </w:p>
    <w:p w14:paraId="418F3510">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订单池整合‌：微信小程序、电商平台订单自动归集，处理效率提升40倍。</w:t>
      </w:r>
    </w:p>
    <w:p w14:paraId="40028ACF">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物流追踪‌：实时监控供应商发货状态，异常情况自动预警。</w:t>
      </w:r>
    </w:p>
    <w:p w14:paraId="30837694">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供应商评估‌：基于交货准时率、质量合格率等数据生成绩效报告。</w:t>
      </w:r>
    </w:p>
    <w:p w14:paraId="4690160B">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heme="minorEastAsia" w:hAnsiTheme="minorEastAsia" w:cstheme="minorEastAsia"/>
          <w:b w:val="0"/>
          <w:bCs w:val="0"/>
          <w:sz w:val="32"/>
          <w:szCs w:val="32"/>
          <w:lang w:val="en-US" w:eastAsia="zh-CN"/>
        </w:rPr>
      </w:pPr>
      <w:r>
        <w:rPr>
          <w:rFonts w:hint="eastAsia" w:ascii="楷体" w:hAnsi="楷体" w:eastAsia="楷体" w:cs="楷体"/>
          <w:b/>
          <w:bCs/>
          <w:sz w:val="32"/>
          <w:szCs w:val="32"/>
          <w:lang w:val="en-US" w:eastAsia="zh-CN"/>
        </w:rPr>
        <w:t>3.AI驱动的决策支持</w:t>
      </w:r>
      <w:r>
        <w:rPr>
          <w:rFonts w:hint="eastAsia" w:asciiTheme="minorEastAsia" w:hAnsiTheme="minorEastAsia" w:cstheme="minorEastAsia"/>
          <w:b w:val="0"/>
          <w:bCs w:val="0"/>
          <w:sz w:val="32"/>
          <w:szCs w:val="32"/>
          <w:lang w:val="en-US" w:eastAsia="zh-CN"/>
        </w:rPr>
        <w:t>‌</w:t>
      </w:r>
    </w:p>
    <w:p w14:paraId="54553F53">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Theme="minorEastAsia" w:hAnsiTheme="minorEastAsia" w:cstheme="minorEastAsia"/>
          <w:b w:val="0"/>
          <w:bCs w:val="0"/>
          <w:sz w:val="32"/>
          <w:szCs w:val="32"/>
          <w:lang w:val="en-US" w:eastAsia="zh-CN"/>
        </w:rPr>
        <w:t>智</w:t>
      </w:r>
      <w:r>
        <w:rPr>
          <w:rFonts w:hint="eastAsia" w:ascii="方正仿宋_GB2312" w:hAnsi="方正仿宋_GB2312" w:eastAsia="方正仿宋_GB2312" w:cs="方正仿宋_GB2312"/>
          <w:b w:val="0"/>
          <w:bCs w:val="0"/>
          <w:sz w:val="32"/>
          <w:szCs w:val="32"/>
          <w:lang w:val="en-US" w:eastAsia="zh-CN"/>
        </w:rPr>
        <w:t>能BI报表‌：自动生成销售趋势、库存健康度、客户复购率等分析，替代人工统计。</w:t>
      </w:r>
    </w:p>
    <w:p w14:paraId="6EC7BDA2">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销售预测‌：根据历史数据预测客户采购周期，提前提醒业务员跟进。</w:t>
      </w:r>
    </w:p>
    <w:p w14:paraId="7B3B317B">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动态定价‌：针对不同渠道（4S店、修理厂、C端）设置差异化价格策略，避免渠道冲突。</w:t>
      </w:r>
    </w:p>
    <w:p w14:paraId="45BECC4E">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heme="minorEastAsia" w:hAnsiTheme="minorEastAsia" w:cstheme="minorEastAsia"/>
          <w:b w:val="0"/>
          <w:bCs w:val="0"/>
          <w:sz w:val="32"/>
          <w:szCs w:val="32"/>
          <w:lang w:val="en-US" w:eastAsia="zh-CN"/>
        </w:rPr>
      </w:pPr>
      <w:r>
        <w:rPr>
          <w:rFonts w:hint="eastAsia" w:ascii="楷体" w:hAnsi="楷体" w:eastAsia="楷体" w:cs="楷体"/>
          <w:b/>
          <w:bCs/>
          <w:sz w:val="32"/>
          <w:szCs w:val="32"/>
          <w:lang w:val="en-US" w:eastAsia="zh-CN"/>
        </w:rPr>
        <w:t>4.客户关系管理（SCRM）</w:t>
      </w:r>
      <w:r>
        <w:rPr>
          <w:rFonts w:hint="eastAsia" w:asciiTheme="minorEastAsia" w:hAnsiTheme="minorEastAsia" w:cstheme="minorEastAsia"/>
          <w:b w:val="0"/>
          <w:bCs w:val="0"/>
          <w:sz w:val="32"/>
          <w:szCs w:val="32"/>
          <w:lang w:val="en-US" w:eastAsia="zh-CN"/>
        </w:rPr>
        <w:t>‌</w:t>
      </w:r>
    </w:p>
    <w:p w14:paraId="7FA39A99">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客户画像‌：整合采购偏好、区域分布、销售潜力等标签，实现“一客一策”营销。</w:t>
      </w:r>
    </w:p>
    <w:p w14:paraId="462D611E">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流失预警‌：识别沉默客户并推送挽回策略，客户留存率提升30%。</w:t>
      </w:r>
    </w:p>
    <w:p w14:paraId="519B2B71">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微信生态集成‌：通过小程序实现询价、下单、支付闭环，客户互动效率翻倍。</w:t>
      </w:r>
    </w:p>
    <w:p w14:paraId="0BA5183B">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heme="minorEastAsia" w:hAnsiTheme="minorEastAsia" w:cstheme="minorEastAsia"/>
          <w:b w:val="0"/>
          <w:bCs w:val="0"/>
          <w:sz w:val="32"/>
          <w:szCs w:val="32"/>
          <w:lang w:val="en-US" w:eastAsia="zh-CN"/>
        </w:rPr>
      </w:pPr>
      <w:r>
        <w:rPr>
          <w:rFonts w:hint="eastAsia" w:ascii="楷体" w:hAnsi="楷体" w:eastAsia="楷体" w:cs="楷体"/>
          <w:b/>
          <w:bCs/>
          <w:sz w:val="32"/>
          <w:szCs w:val="32"/>
          <w:lang w:val="en-US" w:eastAsia="zh-CN"/>
        </w:rPr>
        <w:t>5.移动端应用</w:t>
      </w:r>
      <w:r>
        <w:rPr>
          <w:rFonts w:hint="eastAsia" w:asciiTheme="minorEastAsia" w:hAnsiTheme="minorEastAsia" w:cstheme="minorEastAsia"/>
          <w:b w:val="0"/>
          <w:bCs w:val="0"/>
          <w:sz w:val="32"/>
          <w:szCs w:val="32"/>
          <w:lang w:val="en-US" w:eastAsia="zh-CN"/>
        </w:rPr>
        <w:t>‌</w:t>
      </w:r>
    </w:p>
    <w:p w14:paraId="2280EE68">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手机助手APP‌：支持VIN码查件、扫码开单、库存查询，业务员可随时处理订单。</w:t>
      </w:r>
    </w:p>
    <w:p w14:paraId="471F2BE0">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AI助理“小云”‌：每日推送经营报告，分析销售、库存、客户数据，辅助快速决策。</w:t>
      </w:r>
    </w:p>
    <w:p w14:paraId="633DCB31">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Theme="minorEastAsia" w:hAnsiTheme="minorEastAsia" w:cstheme="minorEastAsia"/>
          <w:b w:val="0"/>
          <w:bCs w:val="0"/>
          <w:sz w:val="32"/>
          <w:szCs w:val="32"/>
          <w:lang w:val="en-US" w:eastAsia="zh-CN"/>
        </w:rPr>
      </w:pPr>
    </w:p>
    <w:p w14:paraId="08342BA2">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cstheme="minorEastAsia"/>
          <w:b w:val="0"/>
          <w:bCs w:val="0"/>
          <w:sz w:val="32"/>
          <w:szCs w:val="32"/>
          <w:lang w:val="en-US" w:eastAsia="zh-CN"/>
        </w:rPr>
      </w:pPr>
      <w:r>
        <w:drawing>
          <wp:inline distT="0" distB="0" distL="114300" distR="114300">
            <wp:extent cx="4756785" cy="2676525"/>
            <wp:effectExtent l="0" t="0" r="18415" b="158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4756785" cy="2676525"/>
                    </a:xfrm>
                    <a:prstGeom prst="rect">
                      <a:avLst/>
                    </a:prstGeom>
                    <a:noFill/>
                    <a:ln>
                      <a:noFill/>
                    </a:ln>
                  </pic:spPr>
                </pic:pic>
              </a:graphicData>
            </a:graphic>
          </wp:inline>
        </w:drawing>
      </w:r>
    </w:p>
    <w:p w14:paraId="7F837AA5">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heme="minorEastAsia" w:hAnsiTheme="minorEastAsia" w:cstheme="minorEastAsia"/>
          <w:b w:val="0"/>
          <w:bCs w:val="0"/>
          <w:sz w:val="32"/>
          <w:szCs w:val="32"/>
          <w:lang w:val="en-US" w:eastAsia="zh-CN"/>
        </w:rPr>
      </w:pPr>
      <w:r>
        <w:rPr>
          <w:rFonts w:hint="eastAsia" w:ascii="楷体" w:hAnsi="楷体" w:eastAsia="楷体" w:cs="楷体"/>
          <w:b/>
          <w:bCs/>
          <w:sz w:val="32"/>
          <w:szCs w:val="32"/>
          <w:lang w:val="en-US" w:eastAsia="zh-CN"/>
        </w:rPr>
        <w:t>6.AI员工（智能业务分身）</w:t>
      </w:r>
      <w:r>
        <w:rPr>
          <w:rFonts w:hint="eastAsia" w:asciiTheme="minorEastAsia" w:hAnsiTheme="minorEastAsia" w:cstheme="minorEastAsia"/>
          <w:b w:val="0"/>
          <w:bCs w:val="0"/>
          <w:sz w:val="32"/>
          <w:szCs w:val="32"/>
          <w:lang w:val="en-US" w:eastAsia="zh-CN"/>
        </w:rPr>
        <w:t>‌</w:t>
      </w:r>
    </w:p>
    <w:p w14:paraId="604CBC15">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秒级报价‌：3秒解析VIN码，自动匹配配件并生成报价单，响应速度超人工。</w:t>
      </w:r>
    </w:p>
    <w:p w14:paraId="32873B4F">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订单自动化‌：客户确认报价后，自动生成销售单并同步财务系统，减少手工操作。</w:t>
      </w:r>
    </w:p>
    <w:p w14:paraId="471B8FDD">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客户管理‌：记录沟通历史、偏好，自动生成服务报告，提升复购率。</w:t>
      </w:r>
    </w:p>
    <w:p w14:paraId="22A5BE95">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firstLine="643" w:firstLineChars="20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三、平台模式及数据应用</w:t>
      </w:r>
    </w:p>
    <w:p w14:paraId="4B3CE353">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1.商业模式</w:t>
      </w:r>
    </w:p>
    <w:p w14:paraId="45F2EE0D">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default" w:ascii="方正仿宋_GB2312" w:hAnsi="方正仿宋_GB2312" w:eastAsia="方正仿宋_GB2312" w:cs="方正仿宋_GB2312"/>
          <w:b w:val="0"/>
          <w:bCs w:val="0"/>
          <w:sz w:val="32"/>
          <w:szCs w:val="32"/>
          <w:lang w:val="en-US" w:eastAsia="zh-CN"/>
        </w:rPr>
      </w:pPr>
      <w:r>
        <w:rPr>
          <w:rFonts w:hint="default" w:ascii="方正仿宋_GB2312" w:hAnsi="方正仿宋_GB2312" w:eastAsia="方正仿宋_GB2312" w:cs="方正仿宋_GB2312"/>
          <w:b w:val="0"/>
          <w:bCs w:val="0"/>
          <w:sz w:val="32"/>
          <w:szCs w:val="32"/>
          <w:lang w:val="en-US" w:eastAsia="zh-CN"/>
        </w:rPr>
        <w:t>汽配产业商家通过汽配云平台，可共享使用车配数据与商业数据，将各节点（产业链商家）连接并形成网状交叉分布式产业互联网平台，链接汽配产业链上下游商家，成为汽配产业数智化基础设施。</w:t>
      </w:r>
    </w:p>
    <w:p w14:paraId="1C227A01">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firstLine="420" w:firstLineChars="200"/>
        <w:jc w:val="both"/>
        <w:textAlignment w:val="auto"/>
        <w:rPr>
          <w:rFonts w:hint="default"/>
          <w:b/>
          <w:bCs/>
          <w:sz w:val="36"/>
          <w:szCs w:val="36"/>
          <w:lang w:val="en-US" w:eastAsia="zh-CN"/>
        </w:rPr>
      </w:pPr>
      <w:r>
        <w:drawing>
          <wp:inline distT="0" distB="0" distL="114300" distR="114300">
            <wp:extent cx="5281295" cy="3748405"/>
            <wp:effectExtent l="0" t="0" r="1905" b="1079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
                    <a:stretch>
                      <a:fillRect/>
                    </a:stretch>
                  </pic:blipFill>
                  <pic:spPr>
                    <a:xfrm>
                      <a:off x="0" y="0"/>
                      <a:ext cx="5281295" cy="3748405"/>
                    </a:xfrm>
                    <a:prstGeom prst="rect">
                      <a:avLst/>
                    </a:prstGeom>
                    <a:noFill/>
                    <a:ln>
                      <a:noFill/>
                    </a:ln>
                  </pic:spPr>
                </pic:pic>
              </a:graphicData>
            </a:graphic>
          </wp:inline>
        </w:drawing>
      </w:r>
    </w:p>
    <w:p w14:paraId="7206EA73">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firstLine="72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b/>
          <w:bCs/>
          <w:sz w:val="36"/>
          <w:szCs w:val="36"/>
          <w:lang w:val="en-US" w:eastAsia="zh-CN"/>
        </w:rPr>
        <w:t xml:space="preserve">                  </w:t>
      </w:r>
      <w:r>
        <w:rPr>
          <w:rFonts w:hint="eastAsia" w:ascii="方正仿宋_GB2312" w:hAnsi="方正仿宋_GB2312" w:eastAsia="方正仿宋_GB2312" w:cs="方正仿宋_GB2312"/>
          <w:b w:val="0"/>
          <w:bCs w:val="0"/>
          <w:sz w:val="32"/>
          <w:szCs w:val="32"/>
          <w:lang w:val="en-US" w:eastAsia="zh-CN"/>
        </w:rPr>
        <w:t>商业模式</w:t>
      </w:r>
    </w:p>
    <w:p w14:paraId="348ED900">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2.汽配行业数据集</w:t>
      </w:r>
    </w:p>
    <w:p w14:paraId="5A18EA3A">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针对汽配产业数字化薄弱且车配标准化程度普遍不高，找配件难、管配件难、卖配件难等问题，汽配云平台汇聚并形成了中国汽配产业最大的车配数据（汽车品牌100+、车型10万+、VIN3亿+、SKU1亿+、车型覆盖度98%、译码准确度99%、实时且真实多渠道价格）和商业数据（2023年度交易订单GMV700亿+，单日实时库存300亿+、累计在线支付10亿+）。</w:t>
      </w:r>
    </w:p>
    <w:p w14:paraId="747D8EB3">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其中，车配数据用于配件交易基础服务，如找配件、卖配件、管配件；商业数据主要辅助产业客户经营与决策，包括信用交易、供应链金融、数字化采购、智能化营销等。</w:t>
      </w:r>
    </w:p>
    <w:p w14:paraId="51237EB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firstLine="420" w:firstLineChars="200"/>
        <w:jc w:val="both"/>
        <w:textAlignment w:val="auto"/>
        <w:rPr>
          <w:rFonts w:hint="default"/>
          <w:b/>
          <w:bCs/>
          <w:sz w:val="36"/>
          <w:szCs w:val="36"/>
          <w:lang w:val="en-US" w:eastAsia="zh-CN"/>
        </w:rPr>
      </w:pPr>
      <w:r>
        <w:drawing>
          <wp:inline distT="0" distB="0" distL="114300" distR="114300">
            <wp:extent cx="5143500" cy="2691130"/>
            <wp:effectExtent l="0" t="0" r="12700"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8"/>
                    <a:stretch>
                      <a:fillRect/>
                    </a:stretch>
                  </pic:blipFill>
                  <pic:spPr>
                    <a:xfrm>
                      <a:off x="0" y="0"/>
                      <a:ext cx="5143500" cy="2691130"/>
                    </a:xfrm>
                    <a:prstGeom prst="rect">
                      <a:avLst/>
                    </a:prstGeom>
                    <a:noFill/>
                    <a:ln>
                      <a:noFill/>
                    </a:ln>
                  </pic:spPr>
                </pic:pic>
              </a:graphicData>
            </a:graphic>
          </wp:inline>
        </w:drawing>
      </w:r>
    </w:p>
    <w:p w14:paraId="4D3AF6B9">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firstLine="640" w:firstLineChars="200"/>
        <w:jc w:val="center"/>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val="0"/>
          <w:bCs w:val="0"/>
          <w:sz w:val="32"/>
          <w:szCs w:val="32"/>
          <w:lang w:val="en-US" w:eastAsia="zh-CN"/>
        </w:rPr>
        <w:t>产业车配数据</w:t>
      </w:r>
    </w:p>
    <w:p w14:paraId="0AE2AD3A">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default" w:ascii="方正仿宋_GB2312" w:hAnsi="方正仿宋_GB2312" w:eastAsia="方正仿宋_GB2312" w:cs="方正仿宋_GB2312"/>
          <w:b w:val="0"/>
          <w:bCs w:val="0"/>
          <w:sz w:val="32"/>
          <w:szCs w:val="32"/>
          <w:lang w:val="en-US" w:eastAsia="zh-CN"/>
        </w:rPr>
      </w:pPr>
      <w:r>
        <w:rPr>
          <w:rFonts w:hint="default" w:ascii="方正仿宋_GB2312" w:hAnsi="方正仿宋_GB2312" w:eastAsia="方正仿宋_GB2312" w:cs="方正仿宋_GB2312"/>
          <w:b w:val="0"/>
          <w:bCs w:val="0"/>
          <w:sz w:val="32"/>
          <w:szCs w:val="32"/>
          <w:lang w:val="en-US" w:eastAsia="zh-CN"/>
        </w:rPr>
        <w:t>汽配云平台产业数据包括：产业上下游商家在云平台上沉淀真实有效的车配关系原始数据与商业交易原始数据，以及汽配云平台与保险公司、车配数据服务公司、车管所等第三方合法合规渠道获取车配关系相关原始数据。</w:t>
      </w:r>
    </w:p>
    <w:p w14:paraId="0431C7B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firstLine="420" w:firstLineChars="200"/>
        <w:jc w:val="both"/>
        <w:textAlignment w:val="auto"/>
        <w:rPr>
          <w:rFonts w:hint="default"/>
          <w:b w:val="0"/>
          <w:bCs w:val="0"/>
          <w:sz w:val="36"/>
          <w:szCs w:val="36"/>
          <w:lang w:val="en-US" w:eastAsia="zh-CN"/>
        </w:rPr>
      </w:pPr>
      <w:r>
        <w:drawing>
          <wp:inline distT="0" distB="0" distL="114300" distR="114300">
            <wp:extent cx="5306060" cy="1755140"/>
            <wp:effectExtent l="0" t="0" r="2540" b="2286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9"/>
                    <a:stretch>
                      <a:fillRect/>
                    </a:stretch>
                  </pic:blipFill>
                  <pic:spPr>
                    <a:xfrm>
                      <a:off x="0" y="0"/>
                      <a:ext cx="5306060" cy="1755140"/>
                    </a:xfrm>
                    <a:prstGeom prst="rect">
                      <a:avLst/>
                    </a:prstGeom>
                    <a:noFill/>
                    <a:ln>
                      <a:noFill/>
                    </a:ln>
                  </pic:spPr>
                </pic:pic>
              </a:graphicData>
            </a:graphic>
          </wp:inline>
        </w:drawing>
      </w:r>
    </w:p>
    <w:p w14:paraId="1D21025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firstLine="640" w:firstLineChars="200"/>
        <w:jc w:val="center"/>
        <w:textAlignment w:val="auto"/>
        <w:rPr>
          <w:rFonts w:hint="default" w:ascii="方正仿宋_GB2312" w:hAnsi="方正仿宋_GB2312" w:eastAsia="方正仿宋_GB2312" w:cs="方正仿宋_GB2312"/>
          <w:b w:val="0"/>
          <w:bCs w:val="0"/>
          <w:sz w:val="32"/>
          <w:szCs w:val="32"/>
          <w:lang w:val="en-US" w:eastAsia="zh-CN"/>
        </w:rPr>
      </w:pPr>
      <w:bookmarkStart w:id="0" w:name="_GoBack"/>
      <w:bookmarkEnd w:id="0"/>
      <w:r>
        <w:rPr>
          <w:rFonts w:hint="default" w:ascii="方正仿宋_GB2312" w:hAnsi="方正仿宋_GB2312" w:eastAsia="方正仿宋_GB2312" w:cs="方正仿宋_GB2312"/>
          <w:b w:val="0"/>
          <w:bCs w:val="0"/>
          <w:sz w:val="32"/>
          <w:szCs w:val="32"/>
          <w:lang w:val="en-US" w:eastAsia="zh-CN"/>
        </w:rPr>
        <w:t>产业交易数据</w:t>
      </w:r>
    </w:p>
    <w:p w14:paraId="61D9DFF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0" w:right="0" w:firstLine="643" w:firstLineChars="200"/>
        <w:textAlignment w:val="auto"/>
        <w:rPr>
          <w:rFonts w:hint="eastAsia" w:ascii="黑体" w:hAnsi="黑体" w:eastAsia="黑体" w:cs="黑体"/>
          <w:sz w:val="32"/>
          <w:szCs w:val="32"/>
        </w:rPr>
      </w:pPr>
      <w:r>
        <w:rPr>
          <w:rFonts w:hint="eastAsia" w:ascii="黑体" w:hAnsi="黑体" w:eastAsia="黑体" w:cs="黑体"/>
          <w:b/>
          <w:bCs/>
          <w:sz w:val="32"/>
          <w:szCs w:val="32"/>
          <w:lang w:val="en-US" w:eastAsia="zh-CN"/>
        </w:rPr>
        <w:t>四、企业技术需求与产学研合作</w:t>
      </w:r>
    </w:p>
    <w:p w14:paraId="6956832D">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firstLine="602" w:firstLineChars="2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1.技术需求：</w:t>
      </w:r>
    </w:p>
    <w:p w14:paraId="172F35DC">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汽配云的技术需求主要围绕‌数据智能、系统集成和行业适配‌展开，核心是解决汽配行业的数字化痛点。</w:t>
      </w:r>
    </w:p>
    <w:p w14:paraId="47DBD96C">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数据智能与AI驱动‌：这是核心。平台需要处理海量历史交易数据，构建AI预测模型，实现‌库存精准预测、智能补货、动态定价和需求预测‌。例如，通过沉淀超5000万条历史交易数据，构建AI预测算法模型，实现库存周转天数从92天缩短至45天。</w:t>
      </w:r>
    </w:p>
    <w:p w14:paraId="01F281F7">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‌系统集成与API对接‌：需要无缝对接ERP、电商平台、车配数据库等，实现‌数据实时同步‌，避免信息孤岛。这要求平台具备强大的API集成能力和灵活的数据映射机制。</w:t>
      </w:r>
    </w:p>
    <w:p w14:paraId="34092A11">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‌供应链协同与可视化‌：支持‌跨区域库存共享、实时调拨和物流追踪‌，提升供应链响应速度。例如，整合区域经销商库存数据，实现跨店调拨的实时可视化，滞销库存占比从28%降至9%。</w:t>
      </w:r>
    </w:p>
    <w:p w14:paraId="03BDF8CC">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‌行业深度适配‌：内置‌200万+车型VIN码库‌，覆盖新能源车型，适配成功率高。这是汽配行业的核心壁垒，需要持续维护和更新。</w:t>
      </w:r>
    </w:p>
    <w:p w14:paraId="05B86270">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Theme="minorEastAsia" w:hAnsiTheme="minorEastAsia" w:cstheme="minorEastAsia"/>
          <w:b/>
          <w:bCs/>
          <w:sz w:val="30"/>
          <w:szCs w:val="30"/>
          <w:lang w:val="en-US" w:eastAsia="zh-CN"/>
        </w:rPr>
      </w:pPr>
      <w:r>
        <w:rPr>
          <w:rFonts w:hint="eastAsia" w:ascii="方正仿宋_GB2312" w:hAnsi="方正仿宋_GB2312" w:eastAsia="方正仿宋_GB2312" w:cs="方正仿宋_GB2312"/>
          <w:b w:val="0"/>
          <w:bCs w:val="0"/>
          <w:sz w:val="32"/>
          <w:szCs w:val="32"/>
          <w:lang w:val="en-US" w:eastAsia="zh-CN"/>
        </w:rPr>
        <w:t>‌高可用性与安全性‌：系统需达到‌99.998%的可用性‌，并具备抵御大规模网络攻击的能力（如年抵御超600万次攻击）。同时，通过等保三级和ISO 27001认证，保障数据安全。</w:t>
      </w:r>
    </w:p>
    <w:p w14:paraId="7AC97A38">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firstLine="602" w:firstLineChars="2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2.产学研合作</w:t>
      </w:r>
    </w:p>
    <w:p w14:paraId="46D09E31">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‌基础研究与技术攻关‌：与高校合作开展‌低温流体力学、热管理算法‌等基础研究，为极端环境测试提供理论支持。</w:t>
      </w:r>
    </w:p>
    <w:p w14:paraId="6EAA815D">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‌共建实验室与中试基地‌：例如，与之江实验室等共建‌多参数耦合系统‌，模拟真实极端环境，进行产品测试与验证。企业可“拎包入驻”测试，高校团队驻场优化参数。</w:t>
      </w:r>
    </w:p>
    <w:p w14:paraId="73967E6A">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‌数据平台与资源共享‌：高校提供专业研究人才和前沿理论，企业贡献生产实践和市场数据，双方共建‌工业场景数据库‌，共享研究成果。</w:t>
      </w:r>
    </w:p>
    <w:p w14:paraId="1D35AE1A">
      <w:pPr>
        <w:keepNext w:val="0"/>
        <w:keepLines w:val="0"/>
        <w:pageBreakBefore w:val="0"/>
        <w:widowControl/>
        <w:suppressLineNumbers w:val="0"/>
        <w:kinsoku/>
        <w:wordWrap/>
        <w:overflowPunct/>
        <w:topLinePunct w:val="0"/>
        <w:autoSpaceDE/>
        <w:autoSpaceDN/>
        <w:bidi w:val="0"/>
        <w:adjustRightInd/>
        <w:snapToGrid/>
        <w:spacing w:line="57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FE5558-520B-4B50-B007-850F5D4774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2" w:fontKey="{5C2016E6-17A7-4787-BCB4-CC9B40C352C9}"/>
  </w:font>
  <w:font w:name="方正仿宋_GB2312">
    <w:panose1 w:val="02000000000000000000"/>
    <w:charset w:val="86"/>
    <w:family w:val="auto"/>
    <w:pitch w:val="default"/>
    <w:sig w:usb0="A00002BF" w:usb1="184F6CFA" w:usb2="00000012" w:usb3="00000000" w:csb0="00040001" w:csb1="00000000"/>
    <w:embedRegular r:id="rId3" w:fontKey="{B39679B5-BF6F-4596-836D-B13D4682558F}"/>
  </w:font>
  <w:font w:name="楷体">
    <w:panose1 w:val="02010609060101010101"/>
    <w:charset w:val="86"/>
    <w:family w:val="auto"/>
    <w:pitch w:val="default"/>
    <w:sig w:usb0="800002BF" w:usb1="38CF7CFA" w:usb2="00000016" w:usb3="00000000" w:csb0="00040001" w:csb1="00000000"/>
    <w:embedRegular r:id="rId4" w:fontKey="{EF03B967-EE38-4BAD-BA06-45C37BAA237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AEABF1"/>
    <w:multiLevelType w:val="singleLevel"/>
    <w:tmpl w:val="7DAEABF1"/>
    <w:lvl w:ilvl="0" w:tentative="0">
      <w:start w:val="1"/>
      <w:numFmt w:val="chineseCounting"/>
      <w:suff w:val="nothing"/>
      <w:lvlText w:val="%1、"/>
      <w:lvlJc w:val="left"/>
      <w:rPr>
        <w:rFonts w:hint="eastAsia"/>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C90FA"/>
    <w:rsid w:val="00920750"/>
    <w:rsid w:val="05015EA4"/>
    <w:rsid w:val="07133C6D"/>
    <w:rsid w:val="08AD7B8A"/>
    <w:rsid w:val="1AB87FE2"/>
    <w:rsid w:val="29FC5D73"/>
    <w:rsid w:val="31F92ADE"/>
    <w:rsid w:val="36DD0E53"/>
    <w:rsid w:val="47A1CE61"/>
    <w:rsid w:val="488C452B"/>
    <w:rsid w:val="49DE18DD"/>
    <w:rsid w:val="588107C2"/>
    <w:rsid w:val="5F5BED83"/>
    <w:rsid w:val="64BC90FA"/>
    <w:rsid w:val="65534217"/>
    <w:rsid w:val="6B556F3B"/>
    <w:rsid w:val="6B5F7F86"/>
    <w:rsid w:val="6FF78877"/>
    <w:rsid w:val="70C70D5B"/>
    <w:rsid w:val="712D267F"/>
    <w:rsid w:val="72730565"/>
    <w:rsid w:val="74977656"/>
    <w:rsid w:val="75747DCE"/>
    <w:rsid w:val="762F6E99"/>
    <w:rsid w:val="77754D7F"/>
    <w:rsid w:val="77AF666B"/>
    <w:rsid w:val="77EC0C9E"/>
    <w:rsid w:val="77FEE482"/>
    <w:rsid w:val="7DEFF5D1"/>
    <w:rsid w:val="7FBAA123"/>
    <w:rsid w:val="8DDF8D9A"/>
    <w:rsid w:val="A9EF78C4"/>
    <w:rsid w:val="AE4FA754"/>
    <w:rsid w:val="AFFE2988"/>
    <w:rsid w:val="CDF72DFF"/>
    <w:rsid w:val="E7BF930F"/>
    <w:rsid w:val="EBD23C22"/>
    <w:rsid w:val="EBD519EC"/>
    <w:rsid w:val="EFF908CB"/>
    <w:rsid w:val="F69D11CD"/>
    <w:rsid w:val="F76F60BE"/>
    <w:rsid w:val="FFE5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alloon Text"/>
    <w:basedOn w:val="1"/>
    <w:qFormat/>
    <w:uiPriority w:val="0"/>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2073</Words>
  <Characters>2199</Characters>
  <Lines>0</Lines>
  <Paragraphs>0</Paragraphs>
  <TotalTime>75</TotalTime>
  <ScaleCrop>false</ScaleCrop>
  <LinksUpToDate>false</LinksUpToDate>
  <CharactersWithSpaces>2235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2025-03-19T16:36:00Z</dcterms:created>
  <dc:creator>test</dc:creator>
  <cp:lastModifiedBy>橙子</cp:lastModifiedBy>
  <dcterms:modified xsi:type="dcterms:W3CDTF">2026-01-22T02:08:04Z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0A9116CBEC1C4D798044266B2CB4EFB6_13</vt:lpwstr>
  </property>
  <property fmtid="{D5CDD505-2E9C-101B-9397-08002B2CF9AE}" pid="4" name="KSOTemplateDocerSaveRecord">
    <vt:lpwstr>eyJoZGlkIjoiOTc3M2Y5NzIzMDFlZjAyY2Q4Njk5ODkyYjFjNzBiNTQiLCJ1c2VySWQiOiIxNTc0MTUxNDQ3In0=</vt:lpwstr>
  </property>
</Properties>
</file>