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bCs/>
          <w:color w:val="auto"/>
          <w:sz w:val="40"/>
          <w:szCs w:val="40"/>
          <w:highlight w:val="none"/>
          <w:lang w:val="en-US" w:eastAsia="zh-CN"/>
        </w:rPr>
      </w:pPr>
      <w:r>
        <w:rPr>
          <w:rFonts w:hint="eastAsia" w:ascii="宋体" w:hAnsi="宋体" w:eastAsia="宋体" w:cs="宋体"/>
          <w:b/>
          <w:bCs/>
          <w:color w:val="auto"/>
          <w:sz w:val="40"/>
          <w:szCs w:val="40"/>
          <w:highlight w:val="none"/>
          <w:lang w:val="en-US" w:eastAsia="zh-CN"/>
        </w:rPr>
        <w:t>2017年省社科规划应用研究后期资助重大项目</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center"/>
        <w:textAlignment w:val="auto"/>
        <w:outlineLvl w:val="9"/>
        <w:rPr>
          <w:rFonts w:hint="eastAsia" w:ascii="宋体" w:hAnsi="宋体" w:eastAsia="宋体" w:cs="宋体"/>
          <w:b/>
          <w:bCs/>
          <w:color w:val="auto"/>
          <w:sz w:val="40"/>
          <w:szCs w:val="40"/>
          <w:highlight w:val="none"/>
          <w:lang w:val="en-US" w:eastAsia="zh-CN"/>
        </w:rPr>
      </w:pPr>
      <w:r>
        <w:rPr>
          <w:rFonts w:hint="eastAsia" w:ascii="宋体" w:hAnsi="宋体" w:eastAsia="宋体" w:cs="宋体"/>
          <w:b/>
          <w:bCs/>
          <w:color w:val="auto"/>
          <w:sz w:val="40"/>
          <w:szCs w:val="40"/>
          <w:highlight w:val="none"/>
          <w:lang w:val="en-US" w:eastAsia="zh-CN"/>
        </w:rPr>
        <w:t>课题指南</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十八届</w:t>
      </w:r>
      <w:r>
        <w:rPr>
          <w:rFonts w:hint="eastAsia" w:ascii="仿宋" w:hAnsi="仿宋" w:eastAsia="仿宋" w:cs="仿宋"/>
          <w:color w:val="auto"/>
          <w:sz w:val="32"/>
          <w:szCs w:val="32"/>
          <w:highlight w:val="none"/>
        </w:rPr>
        <w:t>六中全会精神</w:t>
      </w:r>
      <w:r>
        <w:rPr>
          <w:rFonts w:hint="eastAsia" w:ascii="仿宋" w:hAnsi="仿宋" w:eastAsia="仿宋" w:cs="仿宋"/>
          <w:color w:val="auto"/>
          <w:sz w:val="32"/>
          <w:szCs w:val="32"/>
          <w:highlight w:val="none"/>
          <w:lang w:eastAsia="zh-CN"/>
        </w:rPr>
        <w:t>是</w:t>
      </w:r>
      <w:r>
        <w:rPr>
          <w:rFonts w:hint="eastAsia" w:ascii="仿宋" w:hAnsi="仿宋" w:eastAsia="仿宋" w:cs="仿宋"/>
          <w:color w:val="auto"/>
          <w:sz w:val="32"/>
          <w:szCs w:val="32"/>
          <w:highlight w:val="none"/>
        </w:rPr>
        <w:t>进一步丰富和发展党的治国理政的科学理论</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不断增强中国特色社会主义事业的坚强领导核心是坚持“四个意识”的根本目标</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培养造就马克思主义政治家问题研究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增强政治意识</w:t>
      </w:r>
      <w:r>
        <w:rPr>
          <w:rFonts w:hint="eastAsia" w:ascii="仿宋" w:hAnsi="仿宋" w:eastAsia="仿宋" w:cs="仿宋"/>
          <w:color w:val="auto"/>
          <w:sz w:val="32"/>
          <w:szCs w:val="32"/>
          <w:highlight w:val="none"/>
          <w:lang w:eastAsia="zh-CN"/>
        </w:rPr>
        <w:t>党员干部</w:t>
      </w:r>
      <w:r>
        <w:rPr>
          <w:rFonts w:hint="eastAsia" w:ascii="仿宋" w:hAnsi="仿宋" w:eastAsia="仿宋" w:cs="仿宋"/>
          <w:color w:val="auto"/>
          <w:sz w:val="32"/>
          <w:szCs w:val="32"/>
          <w:highlight w:val="none"/>
        </w:rPr>
        <w:t>保持政治定力研究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增强大局意识</w:t>
      </w:r>
      <w:r>
        <w:rPr>
          <w:rFonts w:hint="eastAsia" w:ascii="仿宋" w:hAnsi="仿宋" w:eastAsia="仿宋" w:cs="仿宋"/>
          <w:color w:val="auto"/>
          <w:sz w:val="32"/>
          <w:szCs w:val="32"/>
          <w:highlight w:val="none"/>
          <w:lang w:eastAsia="zh-CN"/>
        </w:rPr>
        <w:t>党员干部</w:t>
      </w:r>
      <w:r>
        <w:rPr>
          <w:rFonts w:hint="eastAsia" w:ascii="仿宋" w:hAnsi="仿宋" w:eastAsia="仿宋" w:cs="仿宋"/>
          <w:color w:val="auto"/>
          <w:sz w:val="32"/>
          <w:szCs w:val="32"/>
          <w:highlight w:val="none"/>
        </w:rPr>
        <w:t>保持战略清醒研究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增强核心意识</w:t>
      </w:r>
      <w:r>
        <w:rPr>
          <w:rFonts w:hint="eastAsia" w:ascii="仿宋" w:hAnsi="仿宋" w:eastAsia="仿宋" w:cs="仿宋"/>
          <w:color w:val="auto"/>
          <w:sz w:val="32"/>
          <w:szCs w:val="32"/>
          <w:highlight w:val="none"/>
          <w:lang w:eastAsia="zh-CN"/>
        </w:rPr>
        <w:t>党员干部</w:t>
      </w:r>
      <w:r>
        <w:rPr>
          <w:rFonts w:hint="eastAsia" w:ascii="仿宋" w:hAnsi="仿宋" w:eastAsia="仿宋" w:cs="仿宋"/>
          <w:color w:val="auto"/>
          <w:sz w:val="32"/>
          <w:szCs w:val="32"/>
          <w:highlight w:val="none"/>
        </w:rPr>
        <w:t>保持对党忠诚研究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增强看齐意识</w:t>
      </w:r>
      <w:r>
        <w:rPr>
          <w:rFonts w:hint="eastAsia" w:ascii="仿宋" w:hAnsi="仿宋" w:eastAsia="仿宋" w:cs="仿宋"/>
          <w:color w:val="auto"/>
          <w:sz w:val="32"/>
          <w:szCs w:val="32"/>
          <w:highlight w:val="none"/>
          <w:lang w:eastAsia="zh-CN"/>
        </w:rPr>
        <w:t>党员干部</w:t>
      </w:r>
      <w:r>
        <w:rPr>
          <w:rFonts w:hint="eastAsia" w:ascii="仿宋" w:hAnsi="仿宋" w:eastAsia="仿宋" w:cs="仿宋"/>
          <w:color w:val="auto"/>
          <w:sz w:val="32"/>
          <w:szCs w:val="32"/>
          <w:highlight w:val="none"/>
        </w:rPr>
        <w:t>保持团结统一研究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十八大以来中国共产党党内监督理论与实践的创新研究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加强党内政治文化建设与全面从严治党关系研究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加强和规范党内政治生活问题研究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建构全面从严治党的利益冲突制度研究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基于“治本”下的县域腐败（渎职）案件案例库设计及分析运用研究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全面从严治党背景下地方纪检监察体制改革研究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全面从严治党背景下高校党政领导干部家风家规评价与建设路径研究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落实全面从严治党主体责任痕迹化管理机制研究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新时期深入推进反腐倡廉建设的主要难点研究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当前人民群众从反腐斗争中产生获得感的实证调查研究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“红红脸、出出汗”监督执纪常态的落实机制研究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十八大以来腐败治理的突破、创新及前瞻研究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监察体制改革试点的跟踪研究及其前瞻分析研究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监督执纪“四种形态”的有效应用研究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从严治党向基层延伸的动力和保障机制研究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扶贫领域廉政风险防控研究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深化纪委监督责任研究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构建全省巡视巡察一体化工作格局研究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rPr>
        <w:t>创新县乡监督执纪机制研究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建立健全容错纠错机制提升干部干事创业精气神研究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中国多党合作制度话语体系研究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政党协商与社会主义协商民主关系研究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参政党民主监督机制创新研究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中国特色社会主义宗教理论和实践创新研究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统一战线智库特性研究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“一带一路”战略与民族宗教交流研究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香港青年与香港政治生态研究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统战安全与国家安全关系研究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台湾青年与台湾政治生态研究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两岸青年文化交流问题研究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文化自信背景下两岸文化融合路径研究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海外侨胞与“一带一路”战略研究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 xml:space="preserve"> 新的社会阶层政治参与问题研究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新的社会阶层代表人士成长规律研究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 xml:space="preserve"> 非公有制经济人士政治参与问题研究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非公有制经济人士与新型政商关系研究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毛泽东思想与中国特色社会主义理论研究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习近平统一战线思想研究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社会主义核心价值观在基层的培育路径研究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rPr>
        <w:t>社会主义核心价值观与共识教育创新研究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福建省从中等收入经济向高收入经济迈进的理论问题与战略政策研究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福建省多区叠加的政策利用与优势发挥研究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深入推进福建</w:t>
      </w:r>
      <w:r>
        <w:rPr>
          <w:rFonts w:hint="eastAsia" w:ascii="仿宋" w:hAnsi="仿宋" w:eastAsia="仿宋" w:cs="仿宋"/>
          <w:color w:val="auto"/>
          <w:sz w:val="32"/>
          <w:szCs w:val="32"/>
          <w:highlight w:val="none"/>
          <w:lang w:eastAsia="zh-CN"/>
        </w:rPr>
        <w:t>省</w:t>
      </w:r>
      <w:r>
        <w:rPr>
          <w:rFonts w:hint="eastAsia" w:ascii="仿宋" w:hAnsi="仿宋" w:eastAsia="仿宋" w:cs="仿宋"/>
          <w:color w:val="auto"/>
          <w:sz w:val="32"/>
          <w:szCs w:val="32"/>
          <w:highlight w:val="none"/>
        </w:rPr>
        <w:t>供给侧结构性改革的发力点</w:t>
      </w:r>
      <w:r>
        <w:rPr>
          <w:rFonts w:hint="eastAsia" w:ascii="仿宋" w:hAnsi="仿宋" w:eastAsia="仿宋" w:cs="仿宋"/>
          <w:color w:val="auto"/>
          <w:sz w:val="32"/>
          <w:szCs w:val="32"/>
          <w:highlight w:val="none"/>
          <w:lang w:eastAsia="zh-CN"/>
        </w:rPr>
        <w:t>与</w:t>
      </w:r>
      <w:r>
        <w:rPr>
          <w:rFonts w:hint="eastAsia" w:ascii="仿宋" w:hAnsi="仿宋" w:eastAsia="仿宋" w:cs="仿宋"/>
          <w:color w:val="auto"/>
          <w:sz w:val="32"/>
          <w:szCs w:val="32"/>
          <w:highlight w:val="none"/>
        </w:rPr>
        <w:t>主攻方面</w:t>
      </w:r>
      <w:r>
        <w:rPr>
          <w:rFonts w:hint="eastAsia" w:ascii="仿宋" w:hAnsi="仿宋" w:eastAsia="仿宋" w:cs="仿宋"/>
          <w:color w:val="auto"/>
          <w:sz w:val="32"/>
          <w:szCs w:val="32"/>
          <w:highlight w:val="none"/>
          <w:lang w:eastAsia="zh-CN"/>
        </w:rPr>
        <w:t>的</w:t>
      </w:r>
      <w:r>
        <w:rPr>
          <w:rFonts w:hint="eastAsia" w:ascii="仿宋" w:hAnsi="仿宋" w:eastAsia="仿宋" w:cs="仿宋"/>
          <w:color w:val="auto"/>
          <w:sz w:val="32"/>
          <w:szCs w:val="32"/>
          <w:highlight w:val="none"/>
        </w:rPr>
        <w:t>政策支持研究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加快福建</w:t>
      </w:r>
      <w:r>
        <w:rPr>
          <w:rFonts w:ascii="仿宋" w:hAnsi="仿宋" w:eastAsia="仿宋" w:cs="仿宋"/>
          <w:color w:val="auto"/>
          <w:sz w:val="32"/>
          <w:szCs w:val="32"/>
          <w:highlight w:val="none"/>
        </w:rPr>
        <w:t>实施创新驱动发展战略</w:t>
      </w:r>
      <w:r>
        <w:rPr>
          <w:rFonts w:hint="eastAsia" w:ascii="仿宋" w:hAnsi="仿宋" w:eastAsia="仿宋" w:cs="仿宋"/>
          <w:color w:val="auto"/>
          <w:sz w:val="32"/>
          <w:szCs w:val="32"/>
          <w:highlight w:val="none"/>
        </w:rPr>
        <w:t>的配套政策</w:t>
      </w:r>
      <w:r>
        <w:rPr>
          <w:rFonts w:ascii="仿宋" w:hAnsi="仿宋" w:eastAsia="仿宋" w:cs="仿宋"/>
          <w:color w:val="auto"/>
          <w:sz w:val="32"/>
          <w:szCs w:val="32"/>
          <w:highlight w:val="none"/>
        </w:rPr>
        <w:t>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福建省发展特色鲜明的湾区经济理论与政策研究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加快构建南北两大都市区的配套政策研究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推动福建从外贸大省向外贸强省转变的政策研究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福建省</w:t>
      </w:r>
      <w:r>
        <w:rPr>
          <w:rFonts w:hint="eastAsia" w:ascii="仿宋" w:hAnsi="仿宋" w:eastAsia="仿宋" w:cs="仿宋"/>
          <w:color w:val="auto"/>
          <w:sz w:val="32"/>
          <w:szCs w:val="32"/>
          <w:highlight w:val="none"/>
        </w:rPr>
        <w:t>建立以绿色发展为导向的考评体系构建与政策研究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福建省</w:t>
      </w:r>
      <w:r>
        <w:rPr>
          <w:rFonts w:hint="eastAsia" w:ascii="仿宋" w:hAnsi="仿宋" w:eastAsia="仿宋" w:cs="仿宋"/>
          <w:color w:val="auto"/>
          <w:sz w:val="32"/>
          <w:szCs w:val="32"/>
          <w:highlight w:val="none"/>
        </w:rPr>
        <w:t>促进民间金融和互联网金融规范发展的对策研究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进一步打响福建文化品牌延续福建文脉的政策研究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深入推进</w:t>
      </w:r>
      <w:r>
        <w:rPr>
          <w:rFonts w:hint="eastAsia" w:ascii="仿宋" w:hAnsi="仿宋" w:eastAsia="仿宋" w:cs="仿宋"/>
          <w:color w:val="auto"/>
          <w:sz w:val="32"/>
          <w:szCs w:val="32"/>
          <w:highlight w:val="none"/>
          <w:lang w:eastAsia="zh-CN"/>
        </w:rPr>
        <w:t>福建省</w:t>
      </w:r>
      <w:r>
        <w:rPr>
          <w:rFonts w:hint="eastAsia" w:ascii="仿宋" w:hAnsi="仿宋" w:eastAsia="仿宋" w:cs="仿宋"/>
          <w:color w:val="auto"/>
          <w:sz w:val="32"/>
          <w:szCs w:val="32"/>
          <w:highlight w:val="none"/>
        </w:rPr>
        <w:t>精准扶贫</w:t>
      </w:r>
      <w:r>
        <w:rPr>
          <w:rFonts w:hint="eastAsia" w:ascii="仿宋" w:hAnsi="仿宋" w:eastAsia="仿宋" w:cs="仿宋"/>
          <w:color w:val="auto"/>
          <w:sz w:val="32"/>
          <w:szCs w:val="32"/>
          <w:highlight w:val="none"/>
          <w:lang w:eastAsia="zh-CN"/>
        </w:rPr>
        <w:t>与</w:t>
      </w:r>
      <w:r>
        <w:rPr>
          <w:rFonts w:hint="eastAsia" w:ascii="仿宋" w:hAnsi="仿宋" w:eastAsia="仿宋" w:cs="仿宋"/>
          <w:color w:val="auto"/>
          <w:sz w:val="32"/>
          <w:szCs w:val="32"/>
          <w:highlight w:val="none"/>
        </w:rPr>
        <w:t>精准脱贫的配套政策研究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福建省</w:t>
      </w:r>
      <w:r>
        <w:rPr>
          <w:rFonts w:hint="eastAsia" w:ascii="仿宋" w:hAnsi="仿宋" w:eastAsia="仿宋" w:cs="仿宋"/>
          <w:color w:val="auto"/>
          <w:sz w:val="32"/>
          <w:szCs w:val="32"/>
          <w:highlight w:val="none"/>
        </w:rPr>
        <w:t>生态环境保护市场化推进机制研究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shd w:val="clear" w:color="auto" w:fill="auto"/>
        </w:rPr>
      </w:pPr>
      <w:r>
        <w:rPr>
          <w:rFonts w:hint="eastAsia" w:ascii="仿宋" w:hAnsi="仿宋" w:eastAsia="仿宋" w:cs="仿宋"/>
          <w:color w:val="auto"/>
          <w:sz w:val="32"/>
          <w:szCs w:val="32"/>
          <w:highlight w:val="none"/>
          <w:shd w:val="clear" w:color="auto" w:fill="auto"/>
        </w:rPr>
        <w:t>发展</w:t>
      </w:r>
      <w:r>
        <w:rPr>
          <w:rFonts w:hint="eastAsia" w:ascii="仿宋" w:hAnsi="仿宋" w:eastAsia="仿宋" w:cs="仿宋"/>
          <w:color w:val="auto"/>
          <w:sz w:val="32"/>
          <w:szCs w:val="32"/>
          <w:highlight w:val="none"/>
          <w:lang w:eastAsia="zh-CN"/>
        </w:rPr>
        <w:t>福建省</w:t>
      </w:r>
      <w:r>
        <w:rPr>
          <w:rFonts w:hint="eastAsia" w:ascii="仿宋" w:hAnsi="仿宋" w:eastAsia="仿宋" w:cs="仿宋"/>
          <w:color w:val="auto"/>
          <w:sz w:val="32"/>
          <w:szCs w:val="32"/>
          <w:highlight w:val="none"/>
          <w:shd w:val="clear" w:color="auto" w:fill="auto"/>
        </w:rPr>
        <w:t>绿色金融的相关政策框架及战略研究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深化</w:t>
      </w:r>
      <w:r>
        <w:rPr>
          <w:rFonts w:hint="eastAsia" w:ascii="仿宋" w:hAnsi="仿宋" w:eastAsia="仿宋" w:cs="仿宋"/>
          <w:color w:val="auto"/>
          <w:sz w:val="32"/>
          <w:szCs w:val="32"/>
          <w:highlight w:val="none"/>
          <w:lang w:eastAsia="zh-CN"/>
        </w:rPr>
        <w:t>福建省</w:t>
      </w:r>
      <w:r>
        <w:rPr>
          <w:rFonts w:hint="eastAsia" w:ascii="仿宋" w:hAnsi="仿宋" w:eastAsia="仿宋" w:cs="仿宋"/>
          <w:color w:val="auto"/>
          <w:sz w:val="32"/>
          <w:szCs w:val="32"/>
          <w:highlight w:val="none"/>
        </w:rPr>
        <w:t>人才发展体制机制改革的精准配套政策研究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当前两岸关系背景下推进闽台深度融合问题研究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从台资企业在大陆分布看闽台产业合作转型升级研究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台湾文化创意产业发展研究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新形势下福建在两岸融合发展中的角色与作用研究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rPr>
        <w:t>“新常态”下闽台服务业合作机遇与挑战对策研究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加快</w:t>
      </w:r>
      <w:r>
        <w:rPr>
          <w:rFonts w:hint="eastAsia" w:ascii="仿宋" w:hAnsi="仿宋" w:eastAsia="仿宋" w:cs="仿宋"/>
          <w:color w:val="auto"/>
          <w:sz w:val="32"/>
          <w:szCs w:val="32"/>
          <w:highlight w:val="none"/>
        </w:rPr>
        <w:t>福建</w:t>
      </w:r>
      <w:r>
        <w:rPr>
          <w:rFonts w:hint="eastAsia" w:ascii="仿宋" w:hAnsi="仿宋" w:eastAsia="仿宋" w:cs="仿宋"/>
          <w:color w:val="auto"/>
          <w:sz w:val="32"/>
          <w:szCs w:val="32"/>
          <w:highlight w:val="none"/>
          <w:lang w:eastAsia="zh-CN"/>
        </w:rPr>
        <w:t>省</w:t>
      </w:r>
      <w:r>
        <w:rPr>
          <w:rFonts w:hint="eastAsia" w:ascii="仿宋" w:hAnsi="仿宋" w:eastAsia="仿宋" w:cs="仿宋"/>
          <w:color w:val="auto"/>
          <w:sz w:val="32"/>
          <w:szCs w:val="32"/>
          <w:highlight w:val="none"/>
        </w:rPr>
        <w:t>发展新旧动能转换的对策研究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深入推进福建农业供给侧结构性改革研究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大力培育和建设</w:t>
      </w:r>
      <w:r>
        <w:rPr>
          <w:rFonts w:hint="eastAsia" w:ascii="仿宋" w:hAnsi="仿宋" w:eastAsia="仿宋" w:cs="仿宋"/>
          <w:color w:val="auto"/>
          <w:sz w:val="32"/>
          <w:szCs w:val="32"/>
          <w:highlight w:val="none"/>
          <w:lang w:eastAsia="zh-CN"/>
        </w:rPr>
        <w:t>福建省</w:t>
      </w:r>
      <w:r>
        <w:rPr>
          <w:rFonts w:hint="eastAsia" w:ascii="仿宋" w:hAnsi="仿宋" w:eastAsia="仿宋" w:cs="仿宋"/>
          <w:color w:val="auto"/>
          <w:sz w:val="32"/>
          <w:szCs w:val="32"/>
          <w:highlight w:val="none"/>
        </w:rPr>
        <w:t>特色小镇研究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推进</w:t>
      </w:r>
      <w:r>
        <w:rPr>
          <w:rFonts w:hint="eastAsia" w:ascii="仿宋" w:hAnsi="仿宋" w:eastAsia="仿宋" w:cs="仿宋"/>
          <w:color w:val="auto"/>
          <w:sz w:val="32"/>
          <w:szCs w:val="32"/>
          <w:highlight w:val="none"/>
          <w:lang w:eastAsia="zh-CN"/>
        </w:rPr>
        <w:t>福建省</w:t>
      </w:r>
      <w:r>
        <w:rPr>
          <w:rFonts w:hint="eastAsia" w:ascii="仿宋" w:hAnsi="仿宋" w:eastAsia="仿宋" w:cs="仿宋"/>
          <w:color w:val="auto"/>
          <w:sz w:val="32"/>
          <w:szCs w:val="32"/>
          <w:highlight w:val="none"/>
        </w:rPr>
        <w:t>养老产业和养老事业发展的研究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进一步推进</w:t>
      </w:r>
      <w:r>
        <w:rPr>
          <w:rFonts w:hint="eastAsia" w:ascii="仿宋" w:hAnsi="仿宋" w:eastAsia="仿宋" w:cs="仿宋"/>
          <w:color w:val="auto"/>
          <w:sz w:val="32"/>
          <w:szCs w:val="32"/>
          <w:highlight w:val="none"/>
          <w:lang w:eastAsia="zh-CN"/>
        </w:rPr>
        <w:t>我省</w:t>
      </w:r>
      <w:r>
        <w:rPr>
          <w:rFonts w:hint="eastAsia" w:ascii="仿宋" w:hAnsi="仿宋" w:eastAsia="仿宋" w:cs="仿宋"/>
          <w:color w:val="auto"/>
          <w:sz w:val="32"/>
          <w:szCs w:val="32"/>
          <w:highlight w:val="none"/>
        </w:rPr>
        <w:t>海丝核心区建设的研究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构建与“海丝”沿线国家和地区共融共通共同发展研究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进一步推进</w:t>
      </w:r>
      <w:r>
        <w:rPr>
          <w:rFonts w:hint="eastAsia" w:ascii="仿宋" w:hAnsi="仿宋" w:eastAsia="仿宋" w:cs="仿宋"/>
          <w:color w:val="auto"/>
          <w:sz w:val="32"/>
          <w:szCs w:val="32"/>
          <w:highlight w:val="none"/>
          <w:lang w:eastAsia="zh-CN"/>
        </w:rPr>
        <w:t>福建</w:t>
      </w:r>
      <w:r>
        <w:rPr>
          <w:rFonts w:hint="eastAsia" w:ascii="仿宋" w:hAnsi="仿宋" w:eastAsia="仿宋" w:cs="仿宋"/>
          <w:color w:val="auto"/>
          <w:sz w:val="32"/>
          <w:szCs w:val="32"/>
          <w:highlight w:val="none"/>
        </w:rPr>
        <w:t>自贸试验区建设的研究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强化福建自贸试验区在“一带一路”建设中的功能定位研究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提高</w:t>
      </w:r>
      <w:r>
        <w:rPr>
          <w:rFonts w:hint="eastAsia" w:ascii="仿宋" w:hAnsi="仿宋" w:eastAsia="仿宋" w:cs="仿宋"/>
          <w:color w:val="auto"/>
          <w:sz w:val="32"/>
          <w:szCs w:val="32"/>
          <w:highlight w:val="none"/>
          <w:lang w:eastAsia="zh-CN"/>
        </w:rPr>
        <w:t>福建省</w:t>
      </w:r>
      <w:r>
        <w:rPr>
          <w:rFonts w:hint="eastAsia" w:ascii="仿宋" w:hAnsi="仿宋" w:eastAsia="仿宋" w:cs="仿宋"/>
          <w:color w:val="auto"/>
          <w:sz w:val="32"/>
          <w:szCs w:val="32"/>
          <w:highlight w:val="none"/>
        </w:rPr>
        <w:t>社会治理社会化法治化智能化专业化研究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优化</w:t>
      </w:r>
      <w:r>
        <w:rPr>
          <w:rFonts w:hint="eastAsia" w:ascii="仿宋" w:hAnsi="仿宋" w:eastAsia="仿宋" w:cs="仿宋"/>
          <w:color w:val="auto"/>
          <w:sz w:val="32"/>
          <w:szCs w:val="32"/>
          <w:highlight w:val="none"/>
          <w:lang w:eastAsia="zh-CN"/>
        </w:rPr>
        <w:t>福建省</w:t>
      </w:r>
      <w:r>
        <w:rPr>
          <w:rFonts w:hint="eastAsia" w:ascii="仿宋" w:hAnsi="仿宋" w:eastAsia="仿宋" w:cs="仿宋"/>
          <w:color w:val="auto"/>
          <w:sz w:val="32"/>
          <w:szCs w:val="32"/>
          <w:highlight w:val="none"/>
        </w:rPr>
        <w:t>民营经济营商环境问题研究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新常态下福建经济保持中高速增长的难点及其对策研究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面向2050年的福建发展战略研究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福建省产业景气监测体制机制研究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福建制造业公共政策第三方评估方法研究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福建省</w:t>
      </w:r>
      <w:r>
        <w:rPr>
          <w:rFonts w:hint="eastAsia" w:ascii="仿宋" w:hAnsi="仿宋" w:eastAsia="仿宋" w:cs="仿宋"/>
          <w:color w:val="auto"/>
          <w:sz w:val="32"/>
          <w:szCs w:val="32"/>
          <w:highlight w:val="none"/>
        </w:rPr>
        <w:t>连接中巴经济走廊的战略路径研究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推动福建自贸试验区与福厦泉国家自主创新示范区“双区联动”发展的思路和对策研究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推进</w:t>
      </w:r>
      <w:r>
        <w:rPr>
          <w:rFonts w:hint="eastAsia" w:ascii="仿宋" w:hAnsi="仿宋" w:eastAsia="仿宋" w:cs="仿宋"/>
          <w:color w:val="auto"/>
          <w:sz w:val="32"/>
          <w:szCs w:val="32"/>
          <w:highlight w:val="none"/>
          <w:lang w:eastAsia="zh-CN"/>
        </w:rPr>
        <w:t>福建省</w:t>
      </w:r>
      <w:r>
        <w:rPr>
          <w:rFonts w:hint="eastAsia" w:ascii="仿宋" w:hAnsi="仿宋" w:eastAsia="仿宋" w:cs="仿宋"/>
          <w:color w:val="auto"/>
          <w:sz w:val="32"/>
          <w:szCs w:val="32"/>
          <w:highlight w:val="none"/>
        </w:rPr>
        <w:t>服务贸易创新发展的对策研究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福建省</w:t>
      </w:r>
      <w:r>
        <w:rPr>
          <w:rFonts w:hint="eastAsia" w:ascii="仿宋" w:hAnsi="仿宋" w:eastAsia="仿宋" w:cs="仿宋"/>
          <w:color w:val="auto"/>
          <w:sz w:val="32"/>
          <w:szCs w:val="32"/>
          <w:highlight w:val="none"/>
        </w:rPr>
        <w:t>创新创业的激励机制评估和对策研究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福建省</w:t>
      </w:r>
      <w:r>
        <w:rPr>
          <w:rFonts w:hint="eastAsia" w:ascii="仿宋" w:hAnsi="仿宋" w:eastAsia="仿宋" w:cs="仿宋"/>
          <w:color w:val="auto"/>
          <w:sz w:val="32"/>
          <w:szCs w:val="32"/>
          <w:highlight w:val="none"/>
        </w:rPr>
        <w:t>生态优势转化为发展优势的</w:t>
      </w:r>
      <w:r>
        <w:rPr>
          <w:rFonts w:hint="eastAsia" w:ascii="仿宋" w:hAnsi="仿宋" w:eastAsia="仿宋" w:cs="仿宋"/>
          <w:color w:val="auto"/>
          <w:sz w:val="32"/>
          <w:szCs w:val="32"/>
          <w:highlight w:val="none"/>
          <w:lang w:eastAsia="zh-CN"/>
        </w:rPr>
        <w:t>制度设计</w:t>
      </w:r>
      <w:r>
        <w:rPr>
          <w:rFonts w:hint="eastAsia" w:ascii="仿宋" w:hAnsi="仿宋" w:eastAsia="仿宋" w:cs="仿宋"/>
          <w:color w:val="auto"/>
          <w:sz w:val="32"/>
          <w:szCs w:val="32"/>
          <w:highlight w:val="none"/>
        </w:rPr>
        <w:t>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后林改时代集体林业金融支持政策研究</w:t>
      </w:r>
      <w:bookmarkStart w:id="0" w:name="_GoBack"/>
      <w:bookmarkEnd w:id="0"/>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推进</w:t>
      </w:r>
      <w:r>
        <w:rPr>
          <w:rFonts w:hint="eastAsia" w:ascii="仿宋" w:hAnsi="仿宋" w:eastAsia="仿宋" w:cs="仿宋"/>
          <w:color w:val="auto"/>
          <w:sz w:val="32"/>
          <w:szCs w:val="32"/>
          <w:highlight w:val="none"/>
          <w:lang w:eastAsia="zh-CN"/>
        </w:rPr>
        <w:t>福建省</w:t>
      </w:r>
      <w:r>
        <w:rPr>
          <w:rFonts w:hint="eastAsia" w:ascii="仿宋" w:hAnsi="仿宋" w:eastAsia="仿宋" w:cs="仿宋"/>
          <w:color w:val="auto"/>
          <w:sz w:val="32"/>
          <w:szCs w:val="32"/>
          <w:highlight w:val="none"/>
        </w:rPr>
        <w:t>金融更好地服务实体经济的对策研究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促进民营企业参与</w:t>
      </w:r>
      <w:r>
        <w:rPr>
          <w:rFonts w:hint="eastAsia" w:ascii="仿宋" w:hAnsi="仿宋" w:eastAsia="仿宋" w:cs="仿宋"/>
          <w:color w:val="auto"/>
          <w:sz w:val="32"/>
          <w:szCs w:val="32"/>
          <w:highlight w:val="none"/>
          <w:lang w:eastAsia="zh-CN"/>
        </w:rPr>
        <w:t>福建省</w:t>
      </w:r>
      <w:r>
        <w:rPr>
          <w:rFonts w:hint="eastAsia" w:ascii="仿宋" w:hAnsi="仿宋" w:eastAsia="仿宋" w:cs="仿宋"/>
          <w:color w:val="auto"/>
          <w:sz w:val="32"/>
          <w:szCs w:val="32"/>
          <w:highlight w:val="none"/>
        </w:rPr>
        <w:t>PPP项目建设的路径与机制研究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福建农村基层组织建设与脱贫攻坚研究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福建非公企业和社会组织党的工作覆盖创新研究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加快福建科技创新促进先进制造业基地建设研究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福建贫困村资源运营与脱贫实践分析研究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rPr>
          <w:rFonts w:ascii="仿宋" w:hAnsi="仿宋" w:eastAsia="仿宋" w:cs="仿宋"/>
          <w:color w:val="auto"/>
          <w:sz w:val="32"/>
          <w:szCs w:val="32"/>
          <w:highlight w:val="none"/>
        </w:rPr>
      </w:pPr>
      <w:r>
        <w:rPr>
          <w:rFonts w:ascii="仿宋" w:hAnsi="仿宋" w:eastAsia="仿宋" w:cs="仿宋"/>
          <w:color w:val="auto"/>
          <w:sz w:val="32"/>
          <w:szCs w:val="32"/>
          <w:highlight w:val="none"/>
        </w:rPr>
        <w:t>推进脱贫攻坚着力解决</w:t>
      </w:r>
      <w:r>
        <w:rPr>
          <w:rFonts w:hint="eastAsia" w:ascii="仿宋" w:hAnsi="仿宋" w:eastAsia="仿宋" w:cs="仿宋"/>
          <w:color w:val="auto"/>
          <w:sz w:val="32"/>
          <w:szCs w:val="32"/>
          <w:highlight w:val="none"/>
          <w:lang w:eastAsia="zh-CN"/>
        </w:rPr>
        <w:t>福建省</w:t>
      </w:r>
      <w:r>
        <w:rPr>
          <w:rFonts w:ascii="仿宋" w:hAnsi="仿宋" w:eastAsia="仿宋" w:cs="仿宋"/>
          <w:color w:val="auto"/>
          <w:sz w:val="32"/>
          <w:szCs w:val="32"/>
          <w:highlight w:val="none"/>
        </w:rPr>
        <w:t>因病致贫返贫</w:t>
      </w:r>
      <w:r>
        <w:rPr>
          <w:rFonts w:hint="eastAsia" w:ascii="仿宋" w:hAnsi="仿宋" w:eastAsia="仿宋" w:cs="仿宋"/>
          <w:color w:val="auto"/>
          <w:sz w:val="32"/>
          <w:szCs w:val="32"/>
          <w:highlight w:val="none"/>
        </w:rPr>
        <w:t>对策</w:t>
      </w:r>
      <w:r>
        <w:rPr>
          <w:rFonts w:ascii="仿宋" w:hAnsi="仿宋" w:eastAsia="仿宋" w:cs="仿宋"/>
          <w:color w:val="auto"/>
          <w:sz w:val="32"/>
          <w:szCs w:val="32"/>
          <w:highlight w:val="none"/>
        </w:rPr>
        <w:t>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经济新常态下福建省传统优势产业转型升级对策研究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福建生态优势转化为经济发展优势战略研究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新常态背景下福建省县域经济发展战略研究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加快福建海洋经济发展的战略与政策研究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深入推进福建“放管服”改革进一步激发市场活力研究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福建红色文化成风化人的网络传播机制与策略研究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中国传统文化的现代价值研究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中国价值观与人类共同价值观研究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文化自信与当代中国国家凝聚力研究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马克思主义新闻观研究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福建省“一报一台一网（端）”战略研究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提升福建省龙头媒体的全国影响力研究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东南卫视发展策略研究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福建媒体融合实践及其效果评价</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福建主流媒体的融媒体发展策略研究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福建在东盟地区的形象构建及传播策略研究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“海丝之路”建设背景下的福建对外传播战略研究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新形势下对台传播研究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400" w:firstLineChars="0"/>
        <w:jc w:val="left"/>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改革开放以来福建新闻事业史研究</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文星简仿宋">
    <w:altName w:val="Arial Unicode MS"/>
    <w:panose1 w:val="02010609000101010101"/>
    <w:charset w:val="86"/>
    <w:family w:val="modern"/>
    <w:pitch w:val="default"/>
    <w:sig w:usb0="00000000" w:usb1="00000000" w:usb2="00000010" w:usb3="00000000" w:csb0="00040000" w:csb1="00000000"/>
  </w:font>
  <w:font w:name="Arial">
    <w:panose1 w:val="020B0604020202020204"/>
    <w:charset w:val="00"/>
    <w:family w:val="auto"/>
    <w:pitch w:val="default"/>
    <w:sig w:usb0="E0002AFF" w:usb1="C0007843" w:usb2="00000009" w:usb3="00000000" w:csb0="400001FF" w:csb1="FFFF0000"/>
  </w:font>
  <w:font w:name="Arial Unicode MS">
    <w:panose1 w:val="020B0604020202020204"/>
    <w:charset w:val="86"/>
    <w:family w:val="auto"/>
    <w:pitch w:val="default"/>
    <w:sig w:usb0="FFFFFFFF" w:usb1="E9FFFFFF" w:usb2="0000003F" w:usb3="00000000" w:csb0="603F01FF" w:csb1="FFFF0000"/>
  </w:font>
  <w:font w:name="Calibri Light">
    <w:panose1 w:val="020F0302020204030204"/>
    <w:charset w:val="00"/>
    <w:family w:val="swiss"/>
    <w:pitch w:val="default"/>
    <w:sig w:usb0="A00002EF" w:usb1="4000207B" w:usb2="00000000" w:usb3="00000000" w:csb0="2000019F" w:csb1="00000000"/>
  </w:font>
  <w:font w:name="华文中宋">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Tahoma">
    <w:panose1 w:val="020B0604030504040204"/>
    <w:charset w:val="00"/>
    <w:family w:val="roman"/>
    <w:pitch w:val="default"/>
    <w:sig w:usb0="E1002EFF" w:usb1="C000605B" w:usb2="00000029" w:usb3="00000000" w:csb0="200101FF" w:csb1="20280000"/>
  </w:font>
  <w:font w:name="楷体_GB2312">
    <w:altName w:val="楷体"/>
    <w:panose1 w:val="02010609030101010101"/>
    <w:charset w:val="86"/>
    <w:family w:val="decorative"/>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2E27F1"/>
    <w:multiLevelType w:val="singleLevel"/>
    <w:tmpl w:val="592E27F1"/>
    <w:lvl w:ilvl="0" w:tentative="0">
      <w:start w:val="1"/>
      <w:numFmt w:val="decimal"/>
      <w:suff w:val="nothing"/>
      <w:lvlText w:val="%1．"/>
      <w:lvlJc w:val="left"/>
      <w:pPr>
        <w:ind w:left="0" w:leftChars="0" w:firstLine="400" w:firstLineChars="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A559CD"/>
    <w:rsid w:val="00EE5A27"/>
    <w:rsid w:val="030B1880"/>
    <w:rsid w:val="061C3696"/>
    <w:rsid w:val="1F3C6F20"/>
    <w:rsid w:val="238E2F26"/>
    <w:rsid w:val="29760657"/>
    <w:rsid w:val="2C2F3881"/>
    <w:rsid w:val="301E692B"/>
    <w:rsid w:val="31F21CE2"/>
    <w:rsid w:val="36FA3DCC"/>
    <w:rsid w:val="393F2127"/>
    <w:rsid w:val="40B0596E"/>
    <w:rsid w:val="45CA521D"/>
    <w:rsid w:val="4EA559CD"/>
    <w:rsid w:val="4FBB0747"/>
    <w:rsid w:val="61B25B0F"/>
    <w:rsid w:val="62F25B44"/>
    <w:rsid w:val="668C047C"/>
    <w:rsid w:val="6AAA50D7"/>
    <w:rsid w:val="6C8C684D"/>
    <w:rsid w:val="6D992A32"/>
    <w:rsid w:val="73561226"/>
    <w:rsid w:val="7FB40BDD"/>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7">
    <w:name w:val="列出段落2"/>
    <w:basedOn w:val="1"/>
    <w:qFormat/>
    <w:uiPriority w:val="0"/>
    <w:pPr>
      <w:spacing w:line="480" w:lineRule="atLeast"/>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Office_10.1.0.6156_F1E327BC-269C-435d-A152-05C5408002CA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2017-04-13T02:24:00Z</dcterms:created>
  <dc:creator>Lenovo</dc:creator>
  <cp:lastModifiedBy>Lenovo</cp:lastModifiedBy>
  <cp:lastPrinted>2017-04-13T08:02:00Z</cp:lastPrinted>
  <dcterms:modified xsi:type="dcterms:W3CDTF">2017-05-31T02:15:59Z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2052-10.1.0.6156</vt:lpwstr>
  </property>
</Properties>
</file>