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E0AF60">
      <w:pPr>
        <w:adjustRightInd w:val="0"/>
        <w:spacing w:line="312" w:lineRule="atLeast"/>
        <w:textAlignment w:val="baseline"/>
        <w:rPr>
          <w:rFonts w:eastAsia="黑体" w:cs="Times New Roman"/>
          <w:kern w:val="0"/>
          <w:sz w:val="32"/>
          <w:szCs w:val="32"/>
        </w:rPr>
      </w:pPr>
      <w:bookmarkStart w:id="2" w:name="_GoBack"/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 w14:paraId="53655226">
      <w:pPr>
        <w:adjustRightInd w:val="0"/>
        <w:spacing w:line="312" w:lineRule="atLeast"/>
        <w:textAlignment w:val="baseline"/>
        <w:rPr>
          <w:rFonts w:eastAsia="黑体" w:cs="Times New Roman"/>
          <w:kern w:val="0"/>
          <w:sz w:val="32"/>
          <w:szCs w:val="32"/>
        </w:rPr>
      </w:pPr>
    </w:p>
    <w:p w14:paraId="3ED562C3">
      <w:pPr>
        <w:adjustRightIn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第十届教育部科学研究优秀成果奖</w:t>
      </w:r>
    </w:p>
    <w:p w14:paraId="52F4C917">
      <w:pPr>
        <w:adjustRightIn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（人文社会科学）</w:t>
      </w:r>
      <w:bookmarkStart w:id="0" w:name="_Hlk20445326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“教育科学研究”专区</w:t>
      </w:r>
      <w:bookmarkEnd w:id="0"/>
    </w:p>
    <w:p w14:paraId="6797D84B">
      <w:pPr>
        <w:adjustRightIn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工作安排</w:t>
      </w:r>
    </w:p>
    <w:bookmarkEnd w:id="2"/>
    <w:p w14:paraId="0DFF5A2C">
      <w:pPr>
        <w:adjustRightInd/>
        <w:spacing w:line="600" w:lineRule="exact"/>
        <w:textAlignment w:val="auto"/>
        <w:rPr>
          <w:rFonts w:eastAsia="仿宋_GB2312" w:cs="Times New Roman"/>
          <w:kern w:val="0"/>
          <w:sz w:val="32"/>
          <w:szCs w:val="36"/>
        </w:rPr>
      </w:pPr>
    </w:p>
    <w:p w14:paraId="59C8BC9E">
      <w:pPr>
        <w:adjustRightInd/>
        <w:spacing w:line="600" w:lineRule="exact"/>
        <w:textAlignment w:val="auto"/>
        <w:rPr>
          <w:rFonts w:eastAsia="仿宋_GB2312" w:cs="Times New Roman"/>
          <w:kern w:val="0"/>
          <w:sz w:val="32"/>
          <w:szCs w:val="36"/>
        </w:rPr>
      </w:pPr>
      <w:r>
        <w:rPr>
          <w:rFonts w:eastAsia="仿宋_GB2312" w:cs="Times New Roman"/>
          <w:kern w:val="0"/>
          <w:sz w:val="32"/>
          <w:szCs w:val="32"/>
        </w:rPr>
        <w:t xml:space="preserve">    第十届教育部科学研究优秀成果奖（人文社会科学）</w:t>
      </w:r>
      <w:r>
        <w:rPr>
          <w:rFonts w:hint="eastAsia" w:eastAsia="仿宋_GB2312" w:cs="Times New Roman"/>
          <w:kern w:val="0"/>
          <w:sz w:val="32"/>
          <w:szCs w:val="32"/>
        </w:rPr>
        <w:t>“</w:t>
      </w:r>
      <w:r>
        <w:rPr>
          <w:rFonts w:eastAsia="仿宋_GB2312" w:cs="Times New Roman"/>
          <w:kern w:val="0"/>
          <w:sz w:val="32"/>
          <w:szCs w:val="32"/>
        </w:rPr>
        <w:t>教育科学研究</w:t>
      </w:r>
      <w:r>
        <w:rPr>
          <w:rFonts w:hint="eastAsia" w:eastAsia="仿宋_GB2312" w:cs="Times New Roman"/>
          <w:kern w:val="0"/>
          <w:sz w:val="32"/>
          <w:szCs w:val="32"/>
        </w:rPr>
        <w:t>”</w:t>
      </w:r>
      <w:r>
        <w:rPr>
          <w:rFonts w:eastAsia="仿宋_GB2312" w:cs="Times New Roman"/>
          <w:kern w:val="0"/>
          <w:sz w:val="32"/>
          <w:szCs w:val="32"/>
        </w:rPr>
        <w:t>专区评奖工作由全国教育科学规划领导小组统筹领导，全国教育科学规划领导小组办公室（以下简称全规办）具体组织实施。有关工作安排如下。</w:t>
      </w:r>
    </w:p>
    <w:p w14:paraId="18DA1745">
      <w:pPr>
        <w:adjustRightInd/>
        <w:spacing w:line="600" w:lineRule="exact"/>
        <w:ind w:firstLine="640" w:firstLineChars="200"/>
        <w:textAlignment w:val="auto"/>
        <w:rPr>
          <w:rFonts w:eastAsia="黑体" w:cs="Times New Roman"/>
          <w:kern w:val="0"/>
          <w:sz w:val="32"/>
          <w:szCs w:val="36"/>
        </w:rPr>
      </w:pPr>
      <w:r>
        <w:rPr>
          <w:rFonts w:eastAsia="黑体" w:cs="Times New Roman"/>
          <w:kern w:val="0"/>
          <w:sz w:val="32"/>
          <w:szCs w:val="36"/>
        </w:rPr>
        <w:t>一、奖项设置和数量</w:t>
      </w:r>
    </w:p>
    <w:p w14:paraId="69EE4521">
      <w:pPr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本届“教育科学研究”专区（以下简称专区）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设置著作论文奖、咨询服务报告奖、普及读物奖、青年成果奖。普及读物奖和青年成果奖不分等级，其他奖项分设一、二、三等奖。</w:t>
      </w:r>
    </w:p>
    <w:p w14:paraId="0B664CD5">
      <w:pPr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专区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奖励数量为190项。按照确保质量的要求，允许各类、各等级奖项有空缺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 w14:paraId="0D03E2B2">
      <w:pPr>
        <w:adjustRightInd/>
        <w:spacing w:line="600" w:lineRule="exact"/>
        <w:ind w:firstLine="640" w:firstLineChars="200"/>
        <w:textAlignment w:val="auto"/>
        <w:rPr>
          <w:rFonts w:eastAsia="黑体" w:cs="Times New Roman"/>
          <w:kern w:val="0"/>
          <w:sz w:val="32"/>
          <w:szCs w:val="36"/>
        </w:rPr>
      </w:pPr>
      <w:r>
        <w:rPr>
          <w:rFonts w:eastAsia="黑体" w:cs="Times New Roman"/>
          <w:kern w:val="0"/>
          <w:sz w:val="32"/>
          <w:szCs w:val="36"/>
        </w:rPr>
        <w:t>二、申报资格和要求</w:t>
      </w:r>
    </w:p>
    <w:p w14:paraId="1E6D2B2C">
      <w:pPr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参评成果范围为2021年1月1日至2024年12月31日期间著作、论文、咨询服务报告、普及读物，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已获上届高校科学研究优秀成果奖（人文社会科学）的成果除外。具体申报资格和要求详见专区评奖工作实施办法（附件4）有关规定。</w:t>
      </w:r>
    </w:p>
    <w:p w14:paraId="2D28ABCA">
      <w:pPr>
        <w:adjustRightInd/>
        <w:spacing w:line="600" w:lineRule="exact"/>
        <w:ind w:firstLine="640" w:firstLineChars="200"/>
        <w:textAlignment w:val="auto"/>
        <w:rPr>
          <w:rFonts w:eastAsia="黑体" w:cs="Times New Roman"/>
          <w:kern w:val="0"/>
          <w:sz w:val="32"/>
          <w:szCs w:val="36"/>
        </w:rPr>
      </w:pPr>
      <w:r>
        <w:rPr>
          <w:rFonts w:eastAsia="黑体" w:cs="Times New Roman"/>
          <w:kern w:val="0"/>
          <w:sz w:val="32"/>
          <w:szCs w:val="36"/>
        </w:rPr>
        <w:t>三、申报单位和名额</w:t>
      </w:r>
    </w:p>
    <w:p w14:paraId="535457B5">
      <w:pPr>
        <w:adjustRightInd/>
        <w:spacing w:line="600" w:lineRule="exact"/>
        <w:ind w:firstLine="640" w:firstLineChars="200"/>
        <w:textAlignment w:val="auto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>（一）全规办受理二级管理单位的集中申报、审核和推荐，不直接受理个人申报。二级管理单位包括省级教育行政部门（指定各省级教育科学规划办公室具体负责），教育部直属高校、部省合建高校、其他有关部门（单位）所属高校、教育部直属单位等的科研管理部门，中央军委训练管理部军事教育局。各省级教育科学规划办公室组织地方高校、地方教育科研院所、地方教育行政部门、中小学校等的申报。</w:t>
      </w:r>
    </w:p>
    <w:p w14:paraId="18C331CF">
      <w:pPr>
        <w:adjustRightInd/>
        <w:spacing w:line="600" w:lineRule="exact"/>
        <w:ind w:firstLine="640" w:firstLineChars="200"/>
        <w:textAlignment w:val="auto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>（二）专区评奖首次面向香港、澳门地区开放，相关工作安排另行通知。</w:t>
      </w:r>
    </w:p>
    <w:p w14:paraId="473F822A">
      <w:pPr>
        <w:adjustRightInd/>
        <w:spacing w:line="600" w:lineRule="exact"/>
        <w:ind w:firstLine="640" w:firstLineChars="200"/>
        <w:textAlignment w:val="auto"/>
        <w:rPr>
          <w:rFonts w:eastAsia="仿宋_GB2312" w:cs="Times New Roman"/>
          <w:kern w:val="0"/>
          <w:sz w:val="32"/>
          <w:szCs w:val="36"/>
        </w:rPr>
      </w:pPr>
      <w:r>
        <w:rPr>
          <w:rFonts w:eastAsia="仿宋_GB2312" w:cs="Times New Roman"/>
          <w:kern w:val="0"/>
          <w:sz w:val="32"/>
          <w:szCs w:val="32"/>
        </w:rPr>
        <w:t>（三）专区评奖采取限额申报，具体申报名额详见全规办官方网站评奖申报系统。二级管理单位要充分动员、精心组织，规范申报程序，强化纪律监督，切实把好政治方向关和学术质量关，按照限额指标组织好本单位、本行政区域的推荐。</w:t>
      </w:r>
    </w:p>
    <w:p w14:paraId="17CA3E0A">
      <w:pPr>
        <w:adjustRightInd/>
        <w:spacing w:line="600" w:lineRule="exact"/>
        <w:ind w:firstLine="640" w:firstLineChars="200"/>
        <w:textAlignment w:val="auto"/>
        <w:rPr>
          <w:rFonts w:eastAsia="黑体" w:cs="Times New Roman"/>
          <w:kern w:val="0"/>
          <w:sz w:val="32"/>
          <w:szCs w:val="36"/>
        </w:rPr>
      </w:pPr>
      <w:r>
        <w:rPr>
          <w:rFonts w:eastAsia="黑体" w:cs="Times New Roman"/>
          <w:kern w:val="0"/>
          <w:sz w:val="32"/>
          <w:szCs w:val="36"/>
        </w:rPr>
        <w:t>四、申报办法和程序</w:t>
      </w:r>
    </w:p>
    <w:p w14:paraId="7A5C5D6A">
      <w:pPr>
        <w:adjustRightInd w:val="0"/>
        <w:spacing w:line="6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（一）专区评奖采取网上申报。全规办官方网站（https://onsgep.moe.edu.cn）的评奖申报系统为专区评奖申报的网络平台。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系统于2025年10月20日9时开放，申报限额和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申报流程详见系统说明。</w:t>
      </w:r>
    </w:p>
    <w:p w14:paraId="4085B84D">
      <w:pPr>
        <w:adjustRightInd w:val="0"/>
        <w:spacing w:line="6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（二）申报者访问（无需登录）全规办评奖申报系统，下载《第十届教育部科学研究优秀成果奖（人文社会科学）“教育科学研究”专区申报评审表》（以下简称《专区申报评审表》）进行填写。申报者将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专区申报评审表》的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WORD版和加盖单位公章的PDF版（部属单位也可在完成推荐公示后再加盖公章）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、成果及佐证材料的PDF版于11月6日前提交给二级管理单位。申报者个人须对提交内容的真实性和准确性负责。</w:t>
      </w:r>
    </w:p>
    <w:p w14:paraId="03F2528A">
      <w:pPr>
        <w:adjustRightInd w:val="0"/>
        <w:spacing w:line="6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6"/>
        </w:rPr>
      </w:pPr>
      <w:bookmarkStart w:id="1" w:name="_Hlk205565978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二级管理单位须按照申报限额，完成对申报成果的推荐，并对推荐材料进行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第一轮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公示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，公示期不少于5个工作日。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11月26日17时前，须将完成公示的推荐材料（《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专区申报评审表》的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WORD版和加盖公章的PDF版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、成果及佐证材料的PDF版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）和《推荐成果汇总表》上传系统，提交至全规办。</w:t>
      </w:r>
    </w:p>
    <w:p w14:paraId="0BE5F200">
      <w:pPr>
        <w:adjustRightInd w:val="0"/>
        <w:spacing w:line="6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《推荐成果汇总表》由系统自动生成，须加盖二级管理单位公章，扫描为PDF版上传。</w:t>
      </w:r>
    </w:p>
    <w:p w14:paraId="4FB62895">
      <w:pPr>
        <w:adjustRightInd w:val="0"/>
        <w:spacing w:line="6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未经公示或公示异议尚未完成核查处理的推荐材料不予受理。在系统中提交至全规办的所有材料均视为经过各级单位审核同意。</w:t>
      </w:r>
    </w:p>
    <w:p w14:paraId="057DAF51">
      <w:pPr>
        <w:adjustRightInd w:val="0"/>
        <w:spacing w:line="6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《专区申报评审表》、成果及佐证材料、《推荐成果汇总表》均无需给全规办寄送纸质版。</w:t>
      </w:r>
    </w:p>
    <w:p w14:paraId="6194ECD0">
      <w:pPr>
        <w:adjustRightInd w:val="0"/>
        <w:spacing w:line="6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二级管理单位须对推荐材料进行审核。审核重点：1.成果是否坚持正确的政治方向、价值取向和研究导向；2.成果是否符合学术道德和学术规范，有无知识产权等方面的争议；3.成果是否涉及国家秘密；4.申报资格是否符合有关规定，推荐材料是否真实。如发现不符合规定或弄虚作假情形，一经核实取消推荐资格。</w:t>
      </w:r>
    </w:p>
    <w:p w14:paraId="43AC1C6C">
      <w:pPr>
        <w:adjustRightInd w:val="0"/>
        <w:spacing w:line="6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（五）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全规办对各二级管理单位报送的推荐材料依据申报要求进行初审。初审结果通过评奖申报系统向各二级管理单位反馈，由各单位进行第二轮公示并核查，公示期不少于10个工作日。公示合格的推荐材料由全规办组织专家进行复审。</w:t>
      </w:r>
    </w:p>
    <w:p w14:paraId="13DA630D">
      <w:pPr>
        <w:adjustRightInd w:val="0"/>
        <w:spacing w:line="60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（六）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国防军事教育科学研究成果单列单评，由中央军委训练管理部军事教育局负责，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不使用上述评奖申报系统，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其申报和评审参照本工作安排执行</w:t>
      </w:r>
      <w:r>
        <w:rPr>
          <w:rFonts w:hint="eastAsia" w:ascii="仿宋_GB2312" w:hAnsi="仿宋_GB2312" w:eastAsia="仿宋_GB2312" w:cs="仿宋_GB2312"/>
          <w:kern w:val="0"/>
          <w:sz w:val="32"/>
          <w:szCs w:val="36"/>
        </w:rPr>
        <w:t>。</w:t>
      </w:r>
    </w:p>
    <w:p w14:paraId="13415D3C">
      <w:pPr>
        <w:widowControl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全规办联系电话：010－62003307/62008930</w:t>
      </w:r>
    </w:p>
    <w:p w14:paraId="5B4431DD">
      <w:pPr>
        <w:widowControl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电子邮箱：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instrText xml:space="preserve"> HYPERLINK "mailto:qgb@moe.edu.cn" </w:instrTex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qgb@moe.edu.cn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end"/>
      </w:r>
    </w:p>
    <w:bookmarkEnd w:id="1"/>
    <w:p w14:paraId="37D85D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64D41"/>
    <w:rsid w:val="21F64D41"/>
    <w:rsid w:val="50DA5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2025-11-03T00:57:00Z</dcterms:created>
  <dc:creator>柯宇婷</dc:creator>
  <cp:lastModifiedBy>柯宇婷</cp:lastModifiedBy>
  <dcterms:modified xsi:type="dcterms:W3CDTF">2025-11-03T00:57:52Z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F9757075321D464ABA1BE15654343CB7_11</vt:lpwstr>
  </property>
  <property fmtid="{D5CDD505-2E9C-101B-9397-08002B2CF9AE}" pid="4" name="KSOTemplateDocerSaveRecord">
    <vt:lpwstr>eyJoZGlkIjoiNDgxN2Q4OGI4N2MzZjMwNzQxZTM5NDNkOWRjYjc1ZDgiLCJ1c2VySWQiOiI0NTA0NjU5NjYifQ==</vt:lpwstr>
  </property>
</Properties>
</file>