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5893C8">
      <w:pPr>
        <w:widowControl/>
        <w:adjustRightInd w:val="0"/>
        <w:spacing w:line="600" w:lineRule="exact"/>
        <w:contextualSpacing/>
        <w:textAlignment w:val="baseline"/>
        <w:rPr>
          <w:rFonts w:eastAsia="黑体" w:cs="Times New Roman"/>
          <w:kern w:val="0"/>
          <w:sz w:val="32"/>
          <w:szCs w:val="32"/>
        </w:rPr>
      </w:pPr>
      <w:bookmarkStart w:id="0" w:name="_GoBack"/>
      <w:r>
        <w:rPr>
          <w:rFonts w:hint="eastAsia" w:ascii="黑体" w:hAnsi="黑体" w:eastAsia="黑体" w:cs="黑体"/>
          <w:kern w:val="0"/>
          <w:sz w:val="32"/>
          <w:szCs w:val="32"/>
        </w:rPr>
        <w:t>附件2</w:t>
      </w:r>
    </w:p>
    <w:p w14:paraId="632BE180">
      <w:pPr>
        <w:adjustRightInd w:val="0"/>
        <w:spacing w:line="520" w:lineRule="exact"/>
        <w:textAlignment w:val="baseline"/>
        <w:rPr>
          <w:rFonts w:eastAsia="仿宋_GB2312" w:cs="Times New Roman"/>
          <w:kern w:val="0"/>
          <w:sz w:val="32"/>
          <w:szCs w:val="32"/>
        </w:rPr>
      </w:pPr>
    </w:p>
    <w:p w14:paraId="6F6108BD">
      <w:pPr>
        <w:adjustRightInd w:val="0"/>
        <w:spacing w:line="520" w:lineRule="exact"/>
        <w:jc w:val="center"/>
        <w:textAlignment w:val="baseline"/>
        <w:rPr>
          <w:rFonts w:eastAsia="方正小标宋简体" w:cs="Times New Roman"/>
          <w:kern w:val="0"/>
          <w:sz w:val="44"/>
          <w:szCs w:val="44"/>
        </w:rPr>
      </w:pPr>
      <w:r>
        <w:rPr>
          <w:rFonts w:eastAsia="方正小标宋简体" w:cs="Times New Roman"/>
          <w:kern w:val="0"/>
          <w:sz w:val="44"/>
          <w:szCs w:val="44"/>
        </w:rPr>
        <w:t>第十届教育部科学研究优秀成果奖</w:t>
      </w:r>
    </w:p>
    <w:p w14:paraId="5AD7BC38">
      <w:pPr>
        <w:adjustRightInd w:val="0"/>
        <w:spacing w:line="520" w:lineRule="exact"/>
        <w:jc w:val="center"/>
        <w:textAlignment w:val="baseline"/>
        <w:rPr>
          <w:rFonts w:eastAsia="方正小标宋简体" w:cs="Times New Roman"/>
          <w:kern w:val="0"/>
          <w:sz w:val="44"/>
          <w:szCs w:val="44"/>
        </w:rPr>
      </w:pPr>
      <w:r>
        <w:rPr>
          <w:rFonts w:eastAsia="方正小标宋简体" w:cs="Times New Roman"/>
          <w:kern w:val="0"/>
          <w:sz w:val="44"/>
          <w:szCs w:val="44"/>
        </w:rPr>
        <w:t>（人文社会科学）申报答疑</w:t>
      </w:r>
    </w:p>
    <w:bookmarkEnd w:id="0"/>
    <w:p w14:paraId="5E9ED504">
      <w:pPr>
        <w:adjustRightInd w:val="0"/>
        <w:spacing w:line="520" w:lineRule="exact"/>
        <w:textAlignment w:val="baseline"/>
        <w:rPr>
          <w:rFonts w:eastAsia="仿宋_GB2312" w:cs="Times New Roman"/>
          <w:kern w:val="0"/>
          <w:sz w:val="30"/>
          <w:szCs w:val="30"/>
        </w:rPr>
      </w:pPr>
    </w:p>
    <w:p w14:paraId="76EDC9CC">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1.开展教育部科学研究优秀成果奖（人文社会科学）评选活动的目的是什么？</w:t>
      </w:r>
    </w:p>
    <w:p w14:paraId="1A0DF2CF">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繁荣发展高校哲学社会科学，1995年，教育部设立了中国高校人文社会科学研究优秀成果奖。2008年，更名为“高等学校科学研究优秀成果奖（人文社会科学）”。为推动教育科学事业发展，1990年，教育部设立了全国教育科学研究优秀成果奖。2024年，原“高等学校科学研究优秀成果奖（人文社会科学）”和原“全国教育科学研究优秀成果奖”整合设置为“教育部科学研究优秀成果奖（人文社会科学）”。</w:t>
      </w:r>
    </w:p>
    <w:p w14:paraId="031834FC">
      <w:pPr>
        <w:adjustRightInd w:val="0"/>
        <w:spacing w:before="120" w:beforeLines="50" w:after="120" w:afterLines="50"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奖是教育部为表彰奖励教育战线哲学社会科学工作者取得的突出成绩，展示社科界服务党和国家战略的重大理论与实践成果，鼓励严谨治学、勇于创新、铸造精品，推动党的创新理论研究阐释和中国哲学社会科学自主知识体系构建的一项重大举措。</w:t>
      </w:r>
    </w:p>
    <w:p w14:paraId="7B2D1915">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2.“教育科学研究”专区是指什么？</w:t>
      </w:r>
    </w:p>
    <w:p w14:paraId="69EBA3B4">
      <w:pPr>
        <w:adjustRightInd w:val="0"/>
        <w:snapToGri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届评奖单设“教育科学研究”专区，由原“全国教育科学研究优秀成果奖”受理成果范围与本奖“教育学”整合设置。专区由全国教育科学规划领导小组统筹领导，全国教育科学规划领导小组办公室具体组织实施。专区面向全国普通高等学校、教育部直属单位、教育科研院所、地方教育行政部门、中小学校等对教育学成果单独组织实施。</w:t>
      </w:r>
    </w:p>
    <w:p w14:paraId="5E96018F">
      <w:pPr>
        <w:adjustRightInd w:val="0"/>
        <w:snapToGri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——“教育科学研究”专区具体奖项设置和数量、申报资格和要求、申报单位和名额、申报办法和程序等详见专区工作安排、实施办法和申报答疑。以下答疑内容不包括“教育科学研究”专区有关安排。</w:t>
      </w:r>
    </w:p>
    <w:p w14:paraId="427612D8">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3.本届评奖的奖项是如何设置的？</w:t>
      </w:r>
    </w:p>
    <w:p w14:paraId="7C712F23">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——本届评奖的奖项分为著作论文奖、咨询服务报告奖、普及读物奖和青年成果奖。</w:t>
      </w:r>
    </w:p>
    <w:p w14:paraId="5EDDB5C0">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——普及读物奖和青年成果奖不分等级，其他奖项分设特等奖和一、二、三等奖。</w:t>
      </w:r>
    </w:p>
    <w:p w14:paraId="3428B7BE">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4.奖励名额有多少？</w:t>
      </w:r>
    </w:p>
    <w:p w14:paraId="63AE3CB7">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bCs/>
          <w:kern w:val="0"/>
          <w:sz w:val="32"/>
          <w:szCs w:val="32"/>
        </w:rPr>
        <w:t>——</w:t>
      </w:r>
      <w:r>
        <w:rPr>
          <w:rFonts w:hint="eastAsia" w:ascii="仿宋_GB2312" w:hAnsi="仿宋_GB2312" w:eastAsia="仿宋_GB2312" w:cs="仿宋_GB2312"/>
          <w:kern w:val="0"/>
          <w:sz w:val="32"/>
          <w:szCs w:val="32"/>
        </w:rPr>
        <w:t>奖励名额总计1310项。各学科和各类奖项的奖励名额，结合国家战略和学科发展需要，依据申报数占申报总数的比例进行分配。按照确保质量的要求，根据申报评审情况，允许各学科、各等级奖项有空缺。</w:t>
      </w:r>
    </w:p>
    <w:p w14:paraId="25A14B5D">
      <w:pPr>
        <w:adjustRightInd w:val="0"/>
        <w:spacing w:line="600" w:lineRule="exact"/>
        <w:ind w:firstLine="636" w:firstLineChars="198"/>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5.申报学校范围是什么？</w:t>
      </w:r>
    </w:p>
    <w:p w14:paraId="7BD25E91">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——全国普通高等学校都可以申报，具体以教育部政府门户网站（http://www.moe.gov.cn/）最新发布的名单为准。</w:t>
      </w:r>
    </w:p>
    <w:p w14:paraId="280AC5AD">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6.申报单位是如何规定的？</w:t>
      </w:r>
    </w:p>
    <w:p w14:paraId="12CC29F9">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教育部直属高校、部省合建高校以学校为单位，地方高校以所在省、自治区、直辖市教育厅（教委）及新疆生产建设兵团教育局为单位，其他有关部门（单位）所属高校以教育司（局）为单位集中申报，不受理个人申报材料。</w:t>
      </w:r>
    </w:p>
    <w:p w14:paraId="2CF4C672">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bCs/>
          <w:kern w:val="0"/>
          <w:sz w:val="32"/>
          <w:szCs w:val="32"/>
        </w:rPr>
        <w:t>——</w:t>
      </w:r>
      <w:r>
        <w:rPr>
          <w:rFonts w:hint="eastAsia" w:ascii="仿宋_GB2312" w:hAnsi="仿宋_GB2312" w:eastAsia="仿宋_GB2312" w:cs="仿宋_GB2312"/>
          <w:kern w:val="0"/>
          <w:sz w:val="32"/>
          <w:szCs w:val="32"/>
        </w:rPr>
        <w:t>部省合建高校申报名额单独下达，不占所在省、自治区、直辖市教育厅（教委）申报名额。部省合建高校指河北大学、山西大学、内蒙古大学、南昌大学、郑州大学、广西大学、海南大学、贵州大学、云南大学、西藏大学、青海大学、宁夏大学、新疆大学、石河子大学等14所高校。</w:t>
      </w:r>
    </w:p>
    <w:p w14:paraId="73EE5FE0">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7.参评成果时间范围是什么？</w:t>
      </w:r>
    </w:p>
    <w:p w14:paraId="5E4C9AA7">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届参评成果的时间范围为2022年1月1日至2024年12月31日。正式出版的著作，以公开在图书版权页标注的第一次出版时间为准；在期刊上发表的论文、研究报告，以公开在期刊版权页标注的第一次刊登的时间为准；咨询服务报告类成果以被有关部门采纳的时间为准。</w:t>
      </w:r>
    </w:p>
    <w:p w14:paraId="1AE48598">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 xml:space="preserve">8.受理成果范围是什么？ </w:t>
      </w:r>
    </w:p>
    <w:p w14:paraId="26A99C09">
      <w:pPr>
        <w:adjustRightInd w:val="0"/>
        <w:snapToGri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哲学社会科学一级学科自主知识体系研究布局，借鉴历届评奖经验做法，为适应新时代高校哲学社会科学发展需要，本届评奖的受理成果范围包括：1.党的创新理论研究阐释；2.马克思主义理论；3.中共党史党建学；4.纪检监察学；5.公安学；6.哲学；7.理论经济学；8.应用经济学；9.法学；10.政治学；11.社会学；12.民族学；13.心理学；14.体育学；15.中国语言文学；16.外国语言文学；17.新闻传播学；18.考古学；19.中国史；20.世界史；21.艺术学；22.管理科学与工程；23.工商管理学；24.农林经济管理；25.公共管理学；26.信息资源管理；27.国家安全学；28.设计学；29.区域国别学。</w:t>
      </w:r>
    </w:p>
    <w:p w14:paraId="7241361D">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——“教育学”由“教育科学研究”专区组织实施，不得与以上受理成果范围同时申报。</w:t>
      </w:r>
    </w:p>
    <w:p w14:paraId="3401E7FA">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——“体育学”不包括“运动生物力学”“运动生理学”“运动心理学”“体育保健学”“运动生物化学”“运动训练学”“武术理论与方法”二级学科；“心理学”不包括“医学心理学”二级学科。</w:t>
      </w:r>
    </w:p>
    <w:p w14:paraId="2598DEE1">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9.是否实行限额申报，名额是如何确定的？</w:t>
      </w:r>
    </w:p>
    <w:p w14:paraId="3E361D78">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——实行限额申报。各申报单位的申报名额，综合申报时限内该单位的科研成果总数、上一届成果奖申报数和获奖数确定，适当向西部地区倾斜。</w:t>
      </w:r>
    </w:p>
    <w:p w14:paraId="232B78F0">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——以本单位账号登录申报系统查看申报名额。</w:t>
      </w:r>
    </w:p>
    <w:p w14:paraId="4E129588">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10.申报者可以填写几人？</w:t>
      </w:r>
    </w:p>
    <w:p w14:paraId="6AA9592D">
      <w:pPr>
        <w:pStyle w:val="2"/>
        <w:spacing w:line="600" w:lineRule="exact"/>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——申报者只能填写一人或一个团队、课题组、机构。</w:t>
      </w:r>
    </w:p>
    <w:p w14:paraId="73E00A16">
      <w:pPr>
        <w:pStyle w:val="2"/>
        <w:spacing w:line="600" w:lineRule="exact"/>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——成果署名为多人的，原则上由第一署名人申报，具体见本答疑第14条；成果署名为团队、课题组或机构的，只能以团队、课题组、机构名义申报，具体见本答疑第17条。</w:t>
      </w:r>
    </w:p>
    <w:p w14:paraId="1A0A132A">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11.申报者人事关系是否必须在高校？</w:t>
      </w:r>
    </w:p>
    <w:p w14:paraId="3CD52F5F">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——申报期间人事关系在高等学校的教师和研究人员（包括离退休人员），不受职称、年龄、学历、岗位和国籍限制，均可从人事关系所在高校申报。</w:t>
      </w:r>
    </w:p>
    <w:p w14:paraId="2612191D">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——人事关系在某所高校，但同时又在其他高校兼职的，只能从人事关系所在高校申报。</w:t>
      </w:r>
    </w:p>
    <w:p w14:paraId="59626549">
      <w:pPr>
        <w:adjustRightInd w:val="0"/>
        <w:spacing w:line="600" w:lineRule="exact"/>
        <w:ind w:firstLine="640"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kern w:val="0"/>
          <w:sz w:val="32"/>
          <w:szCs w:val="32"/>
        </w:rPr>
        <w:t>——申报期间人事关系不在高校，但成果发表期间在高校任职或兼职的，可从原任职或兼职高校申报。</w:t>
      </w:r>
    </w:p>
    <w:p w14:paraId="050B2086">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12.人事关系不在高校的兼职人员申报需满足哪些条件？</w:t>
      </w:r>
    </w:p>
    <w:p w14:paraId="6F50D248">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——为鼓励科研合作与协同创新，人事关系不在高校，但在高校开展实质性研究工作的兼职人员，可从兼职高校申报，但需同时符合以下条件：</w:t>
      </w:r>
    </w:p>
    <w:p w14:paraId="059DEDDF">
      <w:pPr>
        <w:adjustRightInd w:val="0"/>
        <w:spacing w:line="600" w:lineRule="exact"/>
        <w:ind w:firstLine="576" w:firstLineChars="18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（1）必须是成果的第一署名人或论文的通讯作者。</w:t>
      </w:r>
    </w:p>
    <w:p w14:paraId="36D6672B">
      <w:pPr>
        <w:adjustRightInd w:val="0"/>
        <w:spacing w:line="600" w:lineRule="exact"/>
        <w:ind w:firstLine="576" w:firstLineChars="18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（2）兼职人员与兼职高校有实质性聘任关系，而不是挂名或参与临时性活动（需由兼职高校人事部门开具相关证明，写明兼职工作时间、所属单位等）。</w:t>
      </w:r>
    </w:p>
    <w:p w14:paraId="336C9874">
      <w:pPr>
        <w:adjustRightInd w:val="0"/>
        <w:spacing w:line="600" w:lineRule="exact"/>
        <w:ind w:firstLine="576" w:firstLineChars="18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成果发表时署名单位必须标注兼职高校：著作类成果，在正文、作者简介、前言、后记等内容中应能体现出作者在兼职高校的工作关系；论文类成果，作者的第一署名单位应是兼职高校；咨询服务报告类成果，需提供材料证明该研究与兼职高校之间的联系。</w:t>
      </w:r>
    </w:p>
    <w:p w14:paraId="7F9AA4D3">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（4）外籍兼职人员不能申报。</w:t>
      </w:r>
    </w:p>
    <w:p w14:paraId="1B0EAAAC">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13.博士后研究人员是否可以申报？</w:t>
      </w:r>
    </w:p>
    <w:p w14:paraId="643B2B58">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——可以申报。申报期间人事关系在高校的，通过人事关系所在高校进行申报；申报期间人事关系不在高校，成果发表期间在高校任职或兼职，同时满足第12条申报条件的，可从原任职或兼职高校申报。</w:t>
      </w:r>
    </w:p>
    <w:p w14:paraId="629508E0">
      <w:pPr>
        <w:adjustRightInd w:val="0"/>
        <w:spacing w:line="600" w:lineRule="exact"/>
        <w:ind w:firstLine="639" w:firstLineChars="199"/>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14.成果署名为多人的成果如何申报？</w:t>
      </w:r>
    </w:p>
    <w:p w14:paraId="063EEDDB">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——成果署名为多人的成果，限一人申报，原则上应由第一署名人申报。</w:t>
      </w:r>
    </w:p>
    <w:p w14:paraId="3B1FC937">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——经其他作者同意，可由第一署名人之外作出主要贡献的作者申报。但需同时符合以下条件：</w:t>
      </w:r>
    </w:p>
    <w:p w14:paraId="3B0D209C">
      <w:pPr>
        <w:adjustRightInd w:val="0"/>
        <w:spacing w:line="600" w:lineRule="exact"/>
        <w:ind w:firstLine="6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（1）第一署名人未作为申报者申报本奖（含“教育科学研究”专区）。</w:t>
      </w:r>
    </w:p>
    <w:p w14:paraId="1690E0B0">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（2）需提供第一署名人签字授权其申报的“授权证明”，并在“授权证明”中说明申报者在成果完成过程中所作的主要贡献。</w:t>
      </w:r>
    </w:p>
    <w:p w14:paraId="4395EB7D">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——成果署名为多人的成果，由非第一署名人申报且获奖的，在奖励证书中的排名仍以成果的实际署名顺序为准，申报者位置不能提前。</w:t>
      </w:r>
    </w:p>
    <w:p w14:paraId="0043FDB2">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15.已故作者成果如何申报？</w:t>
      </w:r>
    </w:p>
    <w:p w14:paraId="12AD9CD6">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已故作者的成果，系在本届评奖申报时限内首次公开出版、发表的，经法定继承人同意，其独立完成的成果，可由作者生前所在单位提请申报；其作为第一署名人的合作成果，可由其他作出主要贡献的作者申报。</w:t>
      </w:r>
    </w:p>
    <w:p w14:paraId="7C669BCD">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16.署笔名的成果如何申报？</w:t>
      </w:r>
    </w:p>
    <w:p w14:paraId="78544D45">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——署笔名的成果，申报时应填写本人真实姓名，并由学校人事部门出具材料，证明成果作者确为申报者本人。</w:t>
      </w:r>
    </w:p>
    <w:p w14:paraId="689D9FBD">
      <w:pPr>
        <w:adjustRightInd w:val="0"/>
        <w:spacing w:line="600" w:lineRule="exact"/>
        <w:ind w:firstLine="636" w:firstLineChars="198"/>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17.以团队、课题组、机构名义署名的成果如何填报？</w:t>
      </w:r>
    </w:p>
    <w:p w14:paraId="6368A5AA">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——以团队、课题组、机构名义署名的成果，必须以团队、课题组、机构名义申报。团队或课题组的负责人及主要人员应为高校人员，机构应为高校内设机构。</w:t>
      </w:r>
    </w:p>
    <w:p w14:paraId="3B72D960">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——多个团队、课题组、机构联合署名的成果，原则上以负责人为高校人员的第一顺位团队和课题组名义，或机构为高校内设机构的第一顺位机构名义申报。</w:t>
      </w:r>
    </w:p>
    <w:p w14:paraId="0A38D669">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18.每位申报者可以申报几项成果？</w:t>
      </w:r>
    </w:p>
    <w:p w14:paraId="42BD901F">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——每位申报者只能申报一项成果；参与其他成果申报的，项数不限。</w:t>
      </w:r>
    </w:p>
    <w:p w14:paraId="0F8ED134">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——第一作者为同一署名人的多项成果，不论由第几作者申报，只能选择其中一项成果申报。</w:t>
      </w:r>
    </w:p>
    <w:p w14:paraId="72CA89CF">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19.同一成果是否可以同时申报多类奖项？</w:t>
      </w:r>
    </w:p>
    <w:p w14:paraId="755997FC">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——不可以，一个成果只能申报一类奖项。</w:t>
      </w:r>
    </w:p>
    <w:p w14:paraId="67D77826">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20.已获其他省部级奖项的成果是否可以申报？</w:t>
      </w:r>
    </w:p>
    <w:p w14:paraId="027A5B10">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——可以申报。</w:t>
      </w:r>
    </w:p>
    <w:p w14:paraId="09374859">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21.已经通过答辩但尚未出版或发表的学位论文或博士后出站报告是否可以申报？</w:t>
      </w:r>
    </w:p>
    <w:p w14:paraId="123CCD10">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——不可以申报。</w:t>
      </w:r>
    </w:p>
    <w:p w14:paraId="1BE717DE">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22.涉密成果是否可以申报？</w:t>
      </w:r>
    </w:p>
    <w:p w14:paraId="2C4B6BEF">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——不可以申报。任何涉密信息禁止上传</w:t>
      </w:r>
      <w:r>
        <w:rPr>
          <w:rFonts w:hint="eastAsia" w:ascii="仿宋_GB2312" w:hAnsi="仿宋_GB2312" w:eastAsia="仿宋_GB2312" w:cs="仿宋_GB2312"/>
          <w:kern w:val="0"/>
          <w:sz w:val="32"/>
          <w:szCs w:val="36"/>
        </w:rPr>
        <w:t>申报系统。</w:t>
      </w:r>
      <w:r>
        <w:rPr>
          <w:rFonts w:hint="eastAsia" w:ascii="仿宋_GB2312" w:hAnsi="仿宋_GB2312" w:eastAsia="仿宋_GB2312" w:cs="仿宋_GB2312"/>
          <w:kern w:val="0"/>
          <w:sz w:val="32"/>
          <w:szCs w:val="32"/>
        </w:rPr>
        <w:t>各申报单位应将申报材料是否涉密作为重点审核内容之一。</w:t>
      </w:r>
    </w:p>
    <w:p w14:paraId="7B71C309">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23.对著作类申报成果有哪些要求？</w:t>
      </w:r>
    </w:p>
    <w:p w14:paraId="1D626863">
      <w:pPr>
        <w:adjustRightInd w:val="0"/>
        <w:spacing w:line="600" w:lineRule="exact"/>
        <w:ind w:firstLine="633" w:firstLineChars="198"/>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著作是指有国标书号，由正式出版部门出版并公开或内部发行的出版物，不包括只有内部准印证的出版物。著作形式含专著、编著、译著（外译中）、工具书、古籍整理，不含教材、教辅和文学艺术创作类作品。</w:t>
      </w:r>
    </w:p>
    <w:p w14:paraId="26B016B0">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——多卷本研究著作是同一著作分若干卷（册）出版的图书，应在全部出版完成后做整体申报，以最后一卷出版的时间确定是否符合申报时限要求。</w:t>
      </w:r>
    </w:p>
    <w:p w14:paraId="2FB804B6">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——丛书是指由许多书汇集编成的一套书，不能作为一项研究成果整体申报，只能以其中独立完整的著作单独申报。</w:t>
      </w:r>
    </w:p>
    <w:p w14:paraId="29B85731">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——修订版著作可以申报，但修订前已获过本奖的成果本届不能再申报。修订版著作申报时须附有关说明，承诺修订前版本未获过本奖，并说明该版修订篇幅、章节和主要内容等。 </w:t>
      </w:r>
    </w:p>
    <w:p w14:paraId="5A089431">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——个人学术文集，在本届评奖申报时限内公开出版且首次发表内容不低于50%的，可作为著作类成果申报。</w:t>
      </w:r>
    </w:p>
    <w:p w14:paraId="2524A663">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——译著类成果，仅限外译中成果申报。申报学科类别根据成果内容实际所属学科填报，并在申报评审表中注明原著的语言种类。报送成果材料时，需附原著或复印本2份。</w:t>
      </w:r>
    </w:p>
    <w:p w14:paraId="44337EE5">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——以少数民族语言公开出版的著作，申报时应附有主要章节的国家通用语言文字翻译；以外文公开出版的著作，申报时应附有主要章节的中文翻译。</w:t>
      </w:r>
    </w:p>
    <w:p w14:paraId="10040101">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24.对论文类申报成果有哪些要求？</w:t>
      </w:r>
    </w:p>
    <w:p w14:paraId="6E287275">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——论文是指在国内外期刊或论文集上首次公开发表的研究成果。</w:t>
      </w:r>
    </w:p>
    <w:p w14:paraId="63E18636">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——多人撰写的论文集不能作为著作类成果申报，只能由论文作者以单篇进行申报。</w:t>
      </w:r>
    </w:p>
    <w:p w14:paraId="3CDD1975">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系列论文，围绕一个专题，以个人或课题组名义以同一标题发表于同一刊物的系列论文，可作为论文类成果整体申报；对同一作者、同一主标题，不同副标题的论文，视为同一标题的系列论文；围绕一个专题，发表时标题各不相同的系列论文，不能做整体申报，只能选择其中一篇申报。</w:t>
      </w:r>
    </w:p>
    <w:p w14:paraId="556A433F">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——在国外电子期刊发表论文、作者只有电子版没有纸质原件的，申报时在提供电子版原文打印件的同时，需提供文章的DOI（Digital Object Identifier）号码，并登录DOI验证网站（http://www.doi.org）将输入DOI地址后查询得到的网页打印出来，作为证明材料附在《申报评审表》后。</w:t>
      </w:r>
    </w:p>
    <w:p w14:paraId="75D16D74">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——在网上发表的论文不能申报，但被纸质媒体（如新华文摘等）转载的可以申报，发表期刊和时间以首次被转载期刊名称和时间为准。</w:t>
      </w:r>
    </w:p>
    <w:p w14:paraId="00B704EA">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——以少数民族语言公开发表的论文，申报时应附有主要内容的国家通用语言文字摘要；以外文公开发表的论文，申报时应附有主要内容的中文摘要。</w:t>
      </w:r>
    </w:p>
    <w:p w14:paraId="68CEED35">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25.对咨询服务报告类申报成果有哪些要求？</w:t>
      </w:r>
    </w:p>
    <w:p w14:paraId="6EF2A051">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——咨询服务报告类成果不得涉密，原则上应提交实际应用部门（党政机关、事业单位等）采纳或批示证明，以及关于成果效果和社会影响方面的佐证材料。</w:t>
      </w:r>
    </w:p>
    <w:p w14:paraId="148C269D">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——采纳或批示证明涉密的，不得上传，由本单位出具佐证材料，注明采纳或批示时间。</w:t>
      </w:r>
    </w:p>
    <w:p w14:paraId="28FEBC39">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——采纳时间以证明内容中明确说明的采纳时间为准；证明内容中未明确说明采纳时间的，以出具证明材料的落款时间为准。采纳时间应在2022年1月1日至2024年12月31日期间。</w:t>
      </w:r>
    </w:p>
    <w:p w14:paraId="7A50733E">
      <w:pPr>
        <w:adjustRightInd w:val="0"/>
        <w:spacing w:line="600" w:lineRule="exact"/>
        <w:ind w:firstLine="636" w:firstLineChars="198"/>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26.连续出版的年度发展报告类成果如何申报？</w:t>
      </w:r>
    </w:p>
    <w:p w14:paraId="6FA3E632">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可以申报，但不能将申报时限内出版的多本报告作为整体申报，只能以某一年度的报告进行单本申报。申报时，可报著作论文奖也可报咨询服务报告奖，但报咨询服务报告奖项时原则上应提交相关的采纳证明材料。</w:t>
      </w:r>
    </w:p>
    <w:p w14:paraId="497F534A">
      <w:pPr>
        <w:adjustRightInd w:val="0"/>
        <w:spacing w:line="600" w:lineRule="exact"/>
        <w:ind w:firstLine="636" w:firstLineChars="198"/>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27.申报普及读物奖有哪些要求？</w:t>
      </w:r>
    </w:p>
    <w:p w14:paraId="326A76FB">
      <w:pPr>
        <w:adjustRightInd w:val="0"/>
        <w:spacing w:line="600" w:lineRule="exact"/>
        <w:ind w:firstLine="633" w:firstLineChars="198"/>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普及读物奖成果形式为著作，指为宣传党的创新理论、阐释解答人民群众关心的热点难点问题以及人文社会科学知识传播普及而撰写的人文社科普及读物，应具有较强的科学性、知识性和可读性。需要提交有关成果效果和社会影响方面的佐证材料，包括图书发行量、书评、相关新闻报道、受众反响等。</w:t>
      </w:r>
    </w:p>
    <w:p w14:paraId="396EB8C0">
      <w:pPr>
        <w:adjustRightInd w:val="0"/>
        <w:spacing w:line="600" w:lineRule="exact"/>
        <w:ind w:firstLine="633" w:firstLineChars="198"/>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——文学艺术创作类作品，如传记、小说、游记、散文、访谈、诗集、曲谱、画集、影集等，不在该奖项受理成果范围内。</w:t>
      </w:r>
    </w:p>
    <w:p w14:paraId="15599ACF">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28.申报青年成果奖有哪些要求？</w:t>
      </w:r>
    </w:p>
    <w:p w14:paraId="4E63749F">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——申报者资格：应为申报成果的第一署名人，成果出版、发表或被采纳时年龄不超过40岁（以身份证件为准），女性申报者可相应放宽2年，不超过42岁。</w:t>
      </w:r>
    </w:p>
    <w:p w14:paraId="5D10C659">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——成果形式：包含著作、论文、咨询服务报告、普及读物，具体要求与前述对各类型成果的要求一致。</w:t>
      </w:r>
    </w:p>
    <w:p w14:paraId="15D2838A">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29.网络申报有哪些注意事项？</w:t>
      </w:r>
    </w:p>
    <w:p w14:paraId="6C8ECE12">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——“教育部人文社会科学研究管理平台·申报系统”为本次申报网络平台。</w:t>
      </w:r>
    </w:p>
    <w:p w14:paraId="359DC391">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——“教育部人文社会科学研究管理平台”采用统一账号，各申报单位在之前项目申报或其他工作过程中已开通平台账号的，继续使用原账号。</w:t>
      </w:r>
    </w:p>
    <w:p w14:paraId="443DF055">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——申报者可访问（无需登录）申报系统下载《申报评审表》进行填写，填写完成后将电子版、纸质版交学校科研管理部门。</w:t>
      </w:r>
    </w:p>
    <w:p w14:paraId="488FAFFC">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——各申报者应提供成果全文及佐证材料电子版（PDF格式）（多卷本著作，如提供成果全文电子版确有困难，可提交成果主要内容），由学校科研管理部门上传。</w:t>
      </w:r>
    </w:p>
    <w:p w14:paraId="0ADC9E1A">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——网上申报起止时间为2025年10月20日9时至11月26日17时。</w:t>
      </w:r>
    </w:p>
    <w:p w14:paraId="0258EAD3">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——各申报单位根据本单位申报名额对申报成果进行审核和初选，上传拟报送成果的《申报评审表》及成果、佐证材料电子版。以上材料上传完毕后，由申报单位点击确认审核通过，方为正式提交。</w:t>
      </w:r>
    </w:p>
    <w:p w14:paraId="7B87A6C8">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——不需要专门填写《申报一览表》。全部《申报评审表》上传完毕后，《申报一览表》在系统中直接生成，在线打印。</w:t>
      </w:r>
    </w:p>
    <w:p w14:paraId="087DFDDE">
      <w:pPr>
        <w:wordWrap w:val="0"/>
        <w:adjustRightInd w:val="0"/>
        <w:spacing w:line="600" w:lineRule="exact"/>
        <w:ind w:right="-160" w:rightChars="-50"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已开通管理平台账号的申报单位，以原有账号、密码登录系统，并及时核对单位信息；未开通账号的申报单位，请访问申报系统，登记单位信息、设定登录密码，打印“开通账号申请表”并加盖管理部门公章后发至xmsb@sinoss.net。待审核通过后，即可登录申报系统进行操作。</w:t>
      </w:r>
    </w:p>
    <w:p w14:paraId="1DAC286F">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30.申报单位对《申报评审表》和成果初审的重点是什么？</w:t>
      </w:r>
    </w:p>
    <w:p w14:paraId="6C974793">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报单位要切实把好政治方向关和学术质量关，对申报材料进行审核、汇总。审核重点：（1）申报成果是否坚持正确的政治方向、价值取向和研究导向；（2）是否符合学术道德和学术规范，有无知识产权等方面的争议；（3）申报成果是否涉及国家秘密；（4）申报资格、申报材料是否符合实施办法和申报通知有关规定，申报材料是否真实。如发现不符合规定或弄虚作假情形，一经核实取消申报资格。申报单位</w:t>
      </w:r>
      <w:r>
        <w:rPr>
          <w:rFonts w:hint="eastAsia" w:ascii="仿宋_GB2312" w:hAnsi="仿宋_GB2312" w:eastAsia="仿宋_GB2312" w:cs="仿宋_GB2312"/>
          <w:kern w:val="0"/>
          <w:sz w:val="32"/>
          <w:szCs w:val="36"/>
        </w:rPr>
        <w:t>提交的所有材料均视为经过各级单位审核同意。</w:t>
      </w:r>
    </w:p>
    <w:p w14:paraId="37973793">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31.对申报成果进行公示的要求是什么？</w:t>
      </w:r>
    </w:p>
    <w:p w14:paraId="752F46EA">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——申报单位需对申报成果组织两轮公示。</w:t>
      </w:r>
    </w:p>
    <w:p w14:paraId="686E1595">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——网上申报截止前，申报单位组织完成第一轮公示，公示期不少于5个工作日。</w:t>
      </w:r>
    </w:p>
    <w:p w14:paraId="6CA2D18E">
      <w:pPr>
        <w:adjustRightInd w:val="0"/>
        <w:spacing w:line="600"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——评奖办对申报材料进行初审，初审结果通过申报系统反馈申报单位，由申报单位组织第二轮公示，公示期不少于10个工作日。</w:t>
      </w:r>
    </w:p>
    <w:p w14:paraId="1C8E02F9">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——公示无异议或异议核查处理后无异议的成果方可进入后续工作程序。</w:t>
      </w:r>
    </w:p>
    <w:p w14:paraId="54913EB3">
      <w:pPr>
        <w:adjustRightInd w:val="0"/>
        <w:spacing w:line="600" w:lineRule="exact"/>
        <w:ind w:firstLine="643"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32.《申报评审表》学校审核意见如何填写？</w:t>
      </w:r>
    </w:p>
    <w:p w14:paraId="0BEF3E47">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——《申报评审表》需填写学校具体审核意见，盖学校公章，签署日期。填写前需征得校学术委员会、校保密部门、校纪检监察部门、校人事部门审核同意。</w:t>
      </w:r>
    </w:p>
    <w:p w14:paraId="65748EA9">
      <w:pPr>
        <w:adjustRightInd w:val="0"/>
        <w:spacing w:line="600" w:lineRule="exact"/>
        <w:ind w:firstLine="636" w:firstLineChars="198"/>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33.对纸质申报材料有什么要求？</w:t>
      </w:r>
    </w:p>
    <w:p w14:paraId="29455C45">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——《申报评审表》均为9份（至少1份原件），统一用A4纸双面打印。</w:t>
      </w:r>
    </w:p>
    <w:p w14:paraId="6364813E">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——著作类、普及读物类成果一式3份，须在封面右上角用不干胶加贴标签，标明申报单位、申报者和所申报的学科范围。</w:t>
      </w:r>
    </w:p>
    <w:p w14:paraId="6B99E181">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——论文类、咨询服务报告类成果一式9份（可用复印件）。论文类成果材料包含所在期刊封面、目录页、版权页和论文全文，咨询报告类成果包含咨询服务报告和采纳证明。</w:t>
      </w:r>
    </w:p>
    <w:p w14:paraId="32EC67CB">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——证明材料与《申报评审表》份数一致，统一装订在《申报评审表》后。论文及咨询服务报告类成果按《申报评审表》、成果、证明材料的顺序装订。</w:t>
      </w:r>
    </w:p>
    <w:p w14:paraId="631309EC">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报一览表》由系统在线生成，生成后不得单独调整一览表有关信息和排列顺序，如需修改，在系统中修改有关信息，重新生成一览表。《申报一览表》《申报评审表》和申报成果信息应保持一致。《申报一览表》打印1份，须填写联系人、联系方式并加盖申报单位公章。多页的，每页须标注页码和总页数，加盖骑缝章或每页加盖公章。</w:t>
      </w:r>
    </w:p>
    <w:p w14:paraId="0D30829C">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——和申报成果无关的信息和材料无需提供。</w:t>
      </w:r>
    </w:p>
    <w:p w14:paraId="7BDDF4A0">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34.报送时间是怎样安排的？</w:t>
      </w:r>
    </w:p>
    <w:p w14:paraId="0F3F9FA9">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——纸质申报材料采取现场集中报送。现场集中报送材料时间为12月5日至12月7日，请按以下片区安排报送：</w:t>
      </w:r>
    </w:p>
    <w:p w14:paraId="559A960F">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12月5日  华北地区、东北地区</w:t>
      </w:r>
    </w:p>
    <w:p w14:paraId="5D3A28E6">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12月6日  华中地区、华南地区、西南地区</w:t>
      </w:r>
    </w:p>
    <w:p w14:paraId="4F67B6B9">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12月7日  华东地区、西北地区</w:t>
      </w:r>
    </w:p>
    <w:p w14:paraId="4FB4A78C">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——各申报单位应一次性报齐所有材料，并注意材料顺序与《申报一览表》内顺序一致。</w:t>
      </w:r>
    </w:p>
    <w:p w14:paraId="72088B2E">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35.申报材料是否退还？</w:t>
      </w:r>
    </w:p>
    <w:p w14:paraId="7B585B9F">
      <w:pPr>
        <w:adjustRightInd w:val="0"/>
        <w:spacing w:line="60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——无论申报成果是否获奖，所有申报材料一律不再退还。</w:t>
      </w:r>
    </w:p>
    <w:p w14:paraId="2AF8A984">
      <w:pPr>
        <w:adjustRightInd w:val="0"/>
        <w:spacing w:line="600"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36.获奖成果证书有关内容如何确定？</w:t>
      </w:r>
    </w:p>
    <w:p w14:paraId="1515A3A9">
      <w:pPr>
        <w:adjustRightIn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——获奖成果证书有关内容与获奖成果信息保持一致，主要作者按成果实际署名排序，不包含申报者所在单位。填报《申报评审表》时务必核对确认，提交以后不得更改。</w:t>
      </w:r>
    </w:p>
    <w:p w14:paraId="06D554E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EC63BD"/>
    <w:rsid w:val="0DEC63BD"/>
    <w:rsid w:val="50DA51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color w:val="000000"/>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annotation text"/>
    <w:qFormat/>
    <w:uiPriority w:val="0"/>
    <w:pPr>
      <w:widowControl w:val="0"/>
      <w:adjustRightInd w:val="0"/>
      <w:spacing w:line="312" w:lineRule="atLeast"/>
      <w:jc w:val="left"/>
      <w:textAlignment w:val="baseline"/>
    </w:pPr>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2025-11-03T00:56:00Z</dcterms:created>
  <dc:creator>柯宇婷</dc:creator>
  <cp:lastModifiedBy>柯宇婷</cp:lastModifiedBy>
  <dcterms:modified xsi:type="dcterms:W3CDTF">2025-11-03T00:57:08Z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D366060453474D2DA6495E27DAA8D594_11</vt:lpwstr>
  </property>
  <property fmtid="{D5CDD505-2E9C-101B-9397-08002B2CF9AE}" pid="4" name="KSOTemplateDocerSaveRecord">
    <vt:lpwstr>eyJoZGlkIjoiNDgxN2Q4OGI4N2MzZjMwNzQxZTM5NDNkOWRjYjc1ZDgiLCJ1c2VySWQiOiI0NTA0NjU5NjYifQ==</vt:lpwstr>
  </property>
</Properties>
</file>