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F244B4">
      <w:pPr>
        <w:keepNext w:val="0"/>
        <w:keepLines w:val="0"/>
        <w:pageBreakBefore w:val="0"/>
        <w:widowControl/>
        <w:suppressLineNumbers w:val="0"/>
        <w:kinsoku/>
        <w:wordWrap/>
        <w:overflowPunct/>
        <w:topLinePunct w:val="0"/>
        <w:autoSpaceDE/>
        <w:autoSpaceDN/>
        <w:bidi w:val="0"/>
        <w:adjustRightInd/>
        <w:snapToGrid/>
        <w:spacing w:line="570" w:lineRule="exact"/>
        <w:ind w:firstLine="1807" w:firstLineChars="500"/>
        <w:jc w:val="left"/>
        <w:textAlignment w:val="auto"/>
        <w:rPr>
          <w:rFonts w:hint="eastAsia" w:asciiTheme="majorEastAsia" w:hAnsiTheme="majorEastAsia" w:eastAsiaTheme="majorEastAsia" w:cstheme="majorEastAsia"/>
          <w:b/>
          <w:bCs/>
          <w:sz w:val="36"/>
          <w:szCs w:val="36"/>
          <w:lang w:val="en-US" w:eastAsia="zh-CN"/>
        </w:rPr>
      </w:pPr>
      <w:bookmarkStart w:id="0" w:name="_GoBack"/>
      <w:r>
        <w:rPr>
          <w:rFonts w:hint="eastAsia" w:asciiTheme="majorEastAsia" w:hAnsiTheme="majorEastAsia" w:eastAsiaTheme="majorEastAsia" w:cstheme="majorEastAsia"/>
          <w:b/>
          <w:bCs/>
          <w:sz w:val="36"/>
          <w:szCs w:val="36"/>
          <w:lang w:val="en-US" w:eastAsia="zh-CN"/>
        </w:rPr>
        <w:t>国投智能信息科技股份有限公司</w:t>
      </w:r>
      <w:bookmarkEnd w:id="0"/>
    </w:p>
    <w:p w14:paraId="0F867655">
      <w:pPr>
        <w:keepNext w:val="0"/>
        <w:keepLines w:val="0"/>
        <w:pageBreakBefore w:val="0"/>
        <w:widowControl/>
        <w:suppressLineNumbers w:val="0"/>
        <w:kinsoku/>
        <w:wordWrap/>
        <w:overflowPunct/>
        <w:topLinePunct w:val="0"/>
        <w:autoSpaceDE/>
        <w:autoSpaceDN/>
        <w:bidi w:val="0"/>
        <w:adjustRightInd/>
        <w:snapToGrid/>
        <w:spacing w:line="570" w:lineRule="exact"/>
        <w:ind w:firstLine="643" w:firstLineChars="200"/>
        <w:jc w:val="left"/>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一、公司介绍</w:t>
      </w:r>
    </w:p>
    <w:p w14:paraId="72D56BAE">
      <w:pPr>
        <w:keepNext w:val="0"/>
        <w:keepLines w:val="0"/>
        <w:pageBreakBefore w:val="0"/>
        <w:widowControl/>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t>国投智能信息科技股份有限公司（股票代码：300188）成立于1999年9月22日，曾用名“厦门市美亚柏科信息股份有限公司”，2011年3月16日在深交所上市，2023年12月28日正式更名，由国家开发投资集团有限公司控股并直接管理，国务院国资委为公司实际控制人，是国内电子数据取证行业龙头企业、网络空间安全与社会治理领域国家队。先后被美国商务部、财政部、国防部列入制裁清单。国投智能拥有多个知名业务（子公司）品牌，包括美亚柏科（电子数据取证与公共安全大数据）、国投云网（企业数字化）、税软（税务稽查）、新德汇（刑事侦查）、中检美亚（市场监管）、安胜网络（网络安全）、美亚国云（信创）、国投智能（南京）信息科技（纪检监察）等。</w:t>
      </w:r>
    </w:p>
    <w:p w14:paraId="702F02D7">
      <w:pPr>
        <w:keepNext w:val="0"/>
        <w:keepLines w:val="0"/>
        <w:pageBreakBefore w:val="0"/>
        <w:widowControl/>
        <w:suppressLineNumbers w:val="0"/>
        <w:kinsoku/>
        <w:wordWrap/>
        <w:overflowPunct/>
        <w:topLinePunct w:val="0"/>
        <w:autoSpaceDE/>
        <w:autoSpaceDN/>
        <w:bidi w:val="0"/>
        <w:adjustRightInd/>
        <w:snapToGrid/>
        <w:spacing w:line="280" w:lineRule="atLeast"/>
        <w:jc w:val="center"/>
        <w:textAlignment w:val="auto"/>
      </w:pPr>
    </w:p>
    <w:p w14:paraId="24E3B43D">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3688715" cy="2607945"/>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688715" cy="2607945"/>
                    </a:xfrm>
                    <a:prstGeom prst="rect">
                      <a:avLst/>
                    </a:prstGeom>
                    <a:noFill/>
                    <a:ln w="9525">
                      <a:noFill/>
                    </a:ln>
                  </pic:spPr>
                </pic:pic>
              </a:graphicData>
            </a:graphic>
          </wp:inline>
        </w:drawing>
      </w:r>
    </w:p>
    <w:p w14:paraId="76893FB9">
      <w:pPr>
        <w:keepNext w:val="0"/>
        <w:keepLines w:val="0"/>
        <w:pageBreakBefore w:val="0"/>
        <w:widowControl/>
        <w:suppressLineNumbers w:val="0"/>
        <w:kinsoku/>
        <w:wordWrap/>
        <w:overflowPunct/>
        <w:topLinePunct w:val="0"/>
        <w:autoSpaceDE/>
        <w:autoSpaceDN/>
        <w:bidi w:val="0"/>
        <w:adjustRightInd/>
        <w:snapToGrid/>
        <w:spacing w:line="570" w:lineRule="exact"/>
        <w:ind w:firstLine="643" w:firstLineChars="200"/>
        <w:jc w:val="left"/>
        <w:textAlignment w:val="auto"/>
        <w:rPr>
          <w:rFonts w:hint="eastAsia" w:ascii="方正仿宋_GB2312" w:hAnsi="方正仿宋_GB2312" w:eastAsia="方正仿宋_GB2312" w:cs="方正仿宋_GB2312"/>
          <w:b w:val="0"/>
          <w:bCs w:val="0"/>
          <w:sz w:val="30"/>
          <w:szCs w:val="30"/>
          <w:lang w:val="en-US" w:eastAsia="zh-CN"/>
        </w:rPr>
      </w:pPr>
      <w:r>
        <w:rPr>
          <w:rFonts w:hint="eastAsia" w:asciiTheme="minorEastAsia" w:hAnsiTheme="minorEastAsia" w:eastAsiaTheme="minorEastAsia" w:cstheme="minorEastAsia"/>
          <w:b/>
          <w:bCs/>
          <w:sz w:val="32"/>
          <w:szCs w:val="32"/>
          <w:lang w:val="en-US" w:eastAsia="zh-CN"/>
        </w:rPr>
        <w:t>二、主要业务领域</w:t>
      </w:r>
      <w:r>
        <w:rPr>
          <w:rFonts w:hint="eastAsia" w:ascii="方正仿宋_GB2312" w:hAnsi="方正仿宋_GB2312" w:eastAsia="方正仿宋_GB2312" w:cs="方正仿宋_GB2312"/>
          <w:b w:val="0"/>
          <w:bCs w:val="0"/>
          <w:sz w:val="30"/>
          <w:szCs w:val="30"/>
          <w:lang w:val="en-US" w:eastAsia="zh-CN"/>
        </w:rPr>
        <w:t>‌</w:t>
      </w:r>
    </w:p>
    <w:p w14:paraId="4144C70F">
      <w:pPr>
        <w:keepNext w:val="0"/>
        <w:keepLines w:val="0"/>
        <w:pageBreakBefore w:val="0"/>
        <w:widowControl/>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t>国投智能拥有自主技术内核，以自主研发的大数据操作系统为技术基座，以美亚“天擎”公共安全大模型为能力引擎，布局“电子数据取证、公共安全大数据、新网络空间安全、数字政务与企业数字化”四大业务，致力于应用数字化、信息化技术，向政府机关、企事业单位提供公共安全、行政执法、社会治理及数字化转型服务。公司业务范围遍布全国各省、市、自治区及部分共建“一带一路”国家，其中自主研发的“美亚鉴真平台”微信小程序是全国唯一接入各类政务平台以及覆盖最广的深度合成生成内容检测小程序，电子数据取证业务中国市场份额连续十年排名第一，公共安全大数据业务覆盖全国1/3的省份。</w:t>
      </w:r>
    </w:p>
    <w:p w14:paraId="23E02171">
      <w:pPr>
        <w:keepNext w:val="0"/>
        <w:keepLines w:val="0"/>
        <w:pageBreakBefore w:val="0"/>
        <w:widowControl/>
        <w:suppressLineNumbers w:val="0"/>
        <w:kinsoku/>
        <w:wordWrap/>
        <w:overflowPunct/>
        <w:topLinePunct w:val="0"/>
        <w:autoSpaceDE/>
        <w:autoSpaceDN/>
        <w:bidi w:val="0"/>
        <w:adjustRightInd/>
        <w:snapToGrid/>
        <w:spacing w:line="280" w:lineRule="atLeast"/>
        <w:jc w:val="left"/>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rPr>
        <w:drawing>
          <wp:inline distT="0" distB="0" distL="114300" distR="114300">
            <wp:extent cx="5265420" cy="1369060"/>
            <wp:effectExtent l="0" t="0" r="1778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65420" cy="1369060"/>
                    </a:xfrm>
                    <a:prstGeom prst="rect">
                      <a:avLst/>
                    </a:prstGeom>
                    <a:noFill/>
                    <a:ln>
                      <a:noFill/>
                    </a:ln>
                  </pic:spPr>
                </pic:pic>
              </a:graphicData>
            </a:graphic>
          </wp:inline>
        </w:drawing>
      </w:r>
    </w:p>
    <w:p w14:paraId="33D9BD28">
      <w:pPr>
        <w:keepNext w:val="0"/>
        <w:keepLines w:val="0"/>
        <w:widowControl/>
        <w:suppressLineNumbers w:val="0"/>
        <w:jc w:val="left"/>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kern w:val="0"/>
          <w:sz w:val="30"/>
          <w:szCs w:val="30"/>
          <w:lang w:val="en-US" w:eastAsia="zh-CN" w:bidi="ar"/>
        </w:rPr>
        <w:drawing>
          <wp:inline distT="0" distB="0" distL="114300" distR="114300">
            <wp:extent cx="5309235" cy="1707515"/>
            <wp:effectExtent l="0" t="0" r="24765" b="19685"/>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6"/>
                    <a:stretch>
                      <a:fillRect/>
                    </a:stretch>
                  </pic:blipFill>
                  <pic:spPr>
                    <a:xfrm>
                      <a:off x="0" y="0"/>
                      <a:ext cx="5309235" cy="1707515"/>
                    </a:xfrm>
                    <a:prstGeom prst="rect">
                      <a:avLst/>
                    </a:prstGeom>
                    <a:noFill/>
                    <a:ln w="9525">
                      <a:noFill/>
                    </a:ln>
                  </pic:spPr>
                </pic:pic>
              </a:graphicData>
            </a:graphic>
          </wp:inline>
        </w:drawing>
      </w:r>
    </w:p>
    <w:p w14:paraId="259C9786">
      <w:pPr>
        <w:keepNext w:val="0"/>
        <w:keepLines w:val="0"/>
        <w:pageBreakBefore w:val="0"/>
        <w:widowControl/>
        <w:numPr>
          <w:ilvl w:val="0"/>
          <w:numId w:val="0"/>
        </w:numPr>
        <w:suppressLineNumbers w:val="0"/>
        <w:kinsoku/>
        <w:wordWrap/>
        <w:overflowPunct/>
        <w:topLinePunct w:val="0"/>
        <w:autoSpaceDE/>
        <w:autoSpaceDN/>
        <w:bidi w:val="0"/>
        <w:adjustRightInd/>
        <w:snapToGrid/>
        <w:spacing w:line="570" w:lineRule="exact"/>
        <w:ind w:firstLine="643" w:firstLineChars="200"/>
        <w:jc w:val="left"/>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cstheme="minorEastAsia"/>
          <w:b/>
          <w:bCs/>
          <w:sz w:val="32"/>
          <w:szCs w:val="32"/>
          <w:lang w:val="en-US" w:eastAsia="zh-CN"/>
        </w:rPr>
        <w:t>三、</w:t>
      </w:r>
      <w:r>
        <w:rPr>
          <w:rFonts w:hint="eastAsia" w:asciiTheme="minorEastAsia" w:hAnsiTheme="minorEastAsia" w:eastAsiaTheme="minorEastAsia" w:cstheme="minorEastAsia"/>
          <w:b/>
          <w:bCs/>
          <w:sz w:val="32"/>
          <w:szCs w:val="32"/>
          <w:lang w:val="en-US" w:eastAsia="zh-CN"/>
        </w:rPr>
        <w:t>主要荣誉</w:t>
      </w:r>
    </w:p>
    <w:p w14:paraId="6E5374A6">
      <w:pPr>
        <w:keepNext w:val="0"/>
        <w:keepLines w:val="0"/>
        <w:pageBreakBefore w:val="0"/>
        <w:widowControl/>
        <w:numPr>
          <w:ilvl w:val="0"/>
          <w:numId w:val="0"/>
        </w:numPr>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val="0"/>
          <w:bCs w:val="0"/>
          <w:sz w:val="30"/>
          <w:szCs w:val="30"/>
          <w:lang w:val="en-US" w:eastAsia="zh-CN"/>
        </w:rPr>
        <w:t>创新是国投智能发展的主要引擎。公司坚持“创新即研发、研发即投资”，近十年年均研发费用占比营业收入17%以上，科技创新成果显著：截至2025年6月30日，公司共取得授权专利854项，有效注册商标135项，软件著作权1324项；参与起草制定《人工智能生成合成内容标识办法》及配套国家强制标准GB45438-2025《网络安全技术人工智能生成合成内容标识方法》等29项国家标准、41项行业标准、18项地方标准。被认定为“国家高新技术企业”“国家规划布局内重点软件企业”“国家知识产权示范企业”“国家企业技术中心”；获评“国家科学技术进步奖二等奖”“公安部科学技术奖一等奖”“中国软件和信息技术服务综合竞争力百强企业”、全国网络安全企业50强、福建省质量奖等；设立“博士后工作站”“福建省院士专家工作站”等机构，承担国家发改委高技术产业化专项、国家重点研发专项、国家“十二五”科技支撑计划项目等科技计划项目共60余项。</w:t>
      </w:r>
    </w:p>
    <w:p w14:paraId="30B6814D">
      <w:pPr>
        <w:keepNext w:val="0"/>
        <w:keepLines w:val="0"/>
        <w:pageBreakBefore w:val="0"/>
        <w:widowControl/>
        <w:numPr>
          <w:ilvl w:val="0"/>
          <w:numId w:val="0"/>
        </w:numPr>
        <w:suppressLineNumbers w:val="0"/>
        <w:kinsoku/>
        <w:wordWrap/>
        <w:overflowPunct/>
        <w:topLinePunct w:val="0"/>
        <w:autoSpaceDE/>
        <w:autoSpaceDN/>
        <w:bidi w:val="0"/>
        <w:adjustRightInd/>
        <w:snapToGrid/>
        <w:spacing w:line="570" w:lineRule="exact"/>
        <w:ind w:firstLine="643" w:firstLineChars="200"/>
        <w:jc w:val="left"/>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四、相关案例</w:t>
      </w:r>
    </w:p>
    <w:p w14:paraId="67155765">
      <w:pPr>
        <w:keepNext w:val="0"/>
        <w:keepLines w:val="0"/>
        <w:pageBreakBefore w:val="0"/>
        <w:widowControl/>
        <w:numPr>
          <w:ilvl w:val="0"/>
          <w:numId w:val="0"/>
        </w:numPr>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t>国投智能具备一流的网络与信息安全技术能力和丰富的安全攻防经验，拥有一支百余人的国家级网络安全保障实战团队。曾作为网络安全核心保障单位参与全国两会、厦门金砖会晤、北京“一带一路”高峰论坛、杭州G20峰会、北京奥运会、北京冬奥会、世界互联网大会、成都大运会、杭州亚运会等国家大型活动的信息安全保障工作。在打击治理电信网络诈骗犯罪等重大案事件中提供技术协助，得到国家相关部门的高度评价；多位国家领导人莅临公司，对公司取得的成绩给予高度肯定。</w:t>
      </w:r>
    </w:p>
    <w:p w14:paraId="063FA880">
      <w:pPr>
        <w:keepNext w:val="0"/>
        <w:keepLines w:val="0"/>
        <w:pageBreakBefore w:val="0"/>
        <w:widowControl/>
        <w:numPr>
          <w:ilvl w:val="0"/>
          <w:numId w:val="0"/>
        </w:numPr>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t>作为国投集团参与国家数字经济安全稳定发展平台，国投智能秉承“数据更智能、网络更安全”的企业使命，坚守“以客户为中心，以结果为导向，家国情怀、艰苦奋斗、持续创新、极致执行、协作共赢”的企业价值观，持续深入学习贯彻习近平总书记关于数字经济发展重要指示精神，锻造推动数字经济发展的新质生产力，在保持电子数据取证和公共安全大数据稳健发展的同时，积极培育新网络空间安全和数字政务与企业数字化两大战略性新兴业务，塑造高质量发展新动能新优势，服务国家“网络空间安全”和“数字中国”战略，力争成为全球领先的数据智能与安全服务公司。</w:t>
      </w:r>
    </w:p>
    <w:p w14:paraId="562F001A">
      <w:pPr>
        <w:keepNext w:val="0"/>
        <w:keepLines w:val="0"/>
        <w:pageBreakBefore w:val="0"/>
        <w:widowControl/>
        <w:suppressLineNumbers w:val="0"/>
        <w:kinsoku/>
        <w:wordWrap/>
        <w:overflowPunct/>
        <w:topLinePunct w:val="0"/>
        <w:autoSpaceDE/>
        <w:autoSpaceDN/>
        <w:bidi w:val="0"/>
        <w:adjustRightInd/>
        <w:snapToGrid/>
        <w:spacing w:line="280" w:lineRule="atLeast"/>
        <w:ind w:firstLine="600" w:firstLineChars="200"/>
        <w:jc w:val="center"/>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drawing>
          <wp:inline distT="0" distB="0" distL="114300" distR="114300">
            <wp:extent cx="3550920" cy="3619500"/>
            <wp:effectExtent l="0" t="0" r="5080" b="12700"/>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7"/>
                    <a:stretch>
                      <a:fillRect/>
                    </a:stretch>
                  </pic:blipFill>
                  <pic:spPr>
                    <a:xfrm>
                      <a:off x="0" y="0"/>
                      <a:ext cx="3550920" cy="3619500"/>
                    </a:xfrm>
                    <a:prstGeom prst="rect">
                      <a:avLst/>
                    </a:prstGeom>
                    <a:noFill/>
                    <a:ln w="9525">
                      <a:noFill/>
                    </a:ln>
                  </pic:spPr>
                </pic:pic>
              </a:graphicData>
            </a:graphic>
          </wp:inline>
        </w:drawing>
      </w:r>
    </w:p>
    <w:p w14:paraId="65720C43">
      <w:pPr>
        <w:keepNext w:val="0"/>
        <w:keepLines w:val="0"/>
        <w:pageBreakBefore w:val="0"/>
        <w:widowControl/>
        <w:suppressLineNumbers w:val="0"/>
        <w:kinsoku/>
        <w:wordWrap/>
        <w:overflowPunct/>
        <w:topLinePunct w:val="0"/>
        <w:autoSpaceDE/>
        <w:autoSpaceDN/>
        <w:bidi w:val="0"/>
        <w:adjustRightInd/>
        <w:snapToGrid/>
        <w:spacing w:line="280" w:lineRule="atLeast"/>
        <w:ind w:firstLine="600" w:firstLineChars="200"/>
        <w:jc w:val="center"/>
        <w:textAlignment w:val="auto"/>
        <w:rPr>
          <w:rFonts w:hint="eastAsia" w:asciiTheme="minorEastAsia" w:hAnsiTheme="minorEastAsia" w:eastAsiaTheme="minorEastAsia" w:cstheme="minorEastAsia"/>
          <w:b w:val="0"/>
          <w:bCs w:val="0"/>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6886E705-1AA0-4788-B6AB-DDF598C8CFE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C90FA"/>
    <w:rsid w:val="08AD7B8A"/>
    <w:rsid w:val="36DD0E53"/>
    <w:rsid w:val="50244FFE"/>
    <w:rsid w:val="5F5BED83"/>
    <w:rsid w:val="64BC90FA"/>
    <w:rsid w:val="6B556F3B"/>
    <w:rsid w:val="6B5F7F86"/>
    <w:rsid w:val="6FF78877"/>
    <w:rsid w:val="70C70D5B"/>
    <w:rsid w:val="74977656"/>
    <w:rsid w:val="77AF666B"/>
    <w:rsid w:val="77EC0C9E"/>
    <w:rsid w:val="77FEE482"/>
    <w:rsid w:val="7DEFF5D1"/>
    <w:rsid w:val="7FBAA123"/>
    <w:rsid w:val="AFFE2988"/>
    <w:rsid w:val="CDF72DFF"/>
    <w:rsid w:val="EBD23C22"/>
    <w:rsid w:val="EBD519EC"/>
    <w:rsid w:val="EFF908CB"/>
    <w:rsid w:val="F76F6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alloon Text"/>
    <w:basedOn w:val="1"/>
    <w:qFormat/>
    <w:uiPriority w:val="0"/>
    <w:rPr>
      <w:sz w:val="18"/>
      <w:szCs w:val="18"/>
    </w:rPr>
  </w:style>
  <w:style w:type="paragraph" w:styleId="5">
    <w:name w:val="Normal (Web)"/>
    <w:basedOn w:val="1"/>
    <w:qFormat/>
    <w:uiPriority w:val="0"/>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1455</Words>
  <Characters>1506</Characters>
  <Lines>0</Lines>
  <Paragraphs>0</Paragraphs>
  <TotalTime>36</TotalTime>
  <ScaleCrop>false</ScaleCrop>
  <LinksUpToDate>false</LinksUpToDate>
  <CharactersWithSpaces>1516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2025-03-17T00:36:00Z</dcterms:created>
  <dc:creator>test</dc:creator>
  <cp:lastModifiedBy>橙子</cp:lastModifiedBy>
  <dcterms:modified xsi:type="dcterms:W3CDTF">2025-10-30T00:27:16Z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352F371C7F46417DA6051615F2F7399D_13</vt:lpwstr>
  </property>
  <property fmtid="{D5CDD505-2E9C-101B-9397-08002B2CF9AE}" pid="4" name="KSOTemplateDocerSaveRecord">
    <vt:lpwstr>eyJoZGlkIjoiOTc3M2Y5NzIzMDFlZjAyY2Q4Njk5ODkyYjFjNzBiNTQiLCJ1c2VySWQiOiIxNTc0MTUxNDQ3In0=</vt:lpwstr>
  </property>
</Properties>
</file>