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F8ABC">
      <w:pPr>
        <w:spacing w:before="240" w:after="60" w:line="480" w:lineRule="exact"/>
        <w:outlineLvl w:val="0"/>
        <w:rPr>
          <w:rFonts w:hint="eastAsia" w:ascii="黑体" w:hAnsi="黑体" w:eastAsia="黑体"/>
          <w:bCs/>
        </w:rPr>
      </w:pPr>
      <w:r>
        <w:rPr>
          <w:rFonts w:hint="eastAsia" w:ascii="黑体" w:hAnsi="黑体" w:eastAsia="黑体"/>
          <w:bCs/>
        </w:rPr>
        <w:t>附件1</w:t>
      </w:r>
    </w:p>
    <w:p w14:paraId="65CB6FC3">
      <w:pPr>
        <w:spacing w:after="60" w:line="600" w:lineRule="exact"/>
        <w:jc w:val="center"/>
        <w:outlineLvl w:val="0"/>
        <w:rPr>
          <w:rFonts w:hint="eastAsia" w:ascii="方正小标宋简体" w:hAnsi="黑体" w:eastAsia="方正小标宋简体"/>
          <w:bCs/>
          <w:sz w:val="44"/>
          <w:szCs w:val="44"/>
        </w:rPr>
      </w:pPr>
      <w:r>
        <w:rPr>
          <w:rFonts w:hint="eastAsia" w:ascii="方正小标宋简体" w:hAnsi="黑体" w:eastAsia="方正小标宋简体"/>
          <w:bCs/>
          <w:sz w:val="44"/>
          <w:szCs w:val="44"/>
        </w:rPr>
        <w:t>202</w:t>
      </w:r>
      <w:r>
        <w:rPr>
          <w:rFonts w:ascii="方正小标宋简体" w:hAnsi="黑体" w:eastAsia="方正小标宋简体"/>
          <w:bCs/>
          <w:sz w:val="44"/>
          <w:szCs w:val="44"/>
        </w:rPr>
        <w:t>5</w:t>
      </w:r>
      <w:r>
        <w:rPr>
          <w:rFonts w:hint="eastAsia" w:ascii="方正小标宋简体" w:hAnsi="黑体" w:eastAsia="方正小标宋简体"/>
          <w:bCs/>
          <w:sz w:val="44"/>
          <w:szCs w:val="44"/>
        </w:rPr>
        <w:t>年度区域发展项目申报指南</w:t>
      </w:r>
    </w:p>
    <w:p w14:paraId="781E9274">
      <w:pPr>
        <w:spacing w:line="400" w:lineRule="exact"/>
        <w:rPr>
          <w:rFonts w:hint="eastAsia" w:ascii="仿宋_GB2312"/>
        </w:rPr>
      </w:pPr>
    </w:p>
    <w:p w14:paraId="1685BE20">
      <w:pPr>
        <w:spacing w:line="400" w:lineRule="exact"/>
        <w:ind w:firstLine="640" w:firstLineChars="200"/>
        <w:rPr>
          <w:rFonts w:hint="eastAsia" w:ascii="黑体" w:hAnsi="黑体" w:eastAsia="黑体" w:cs="宋体"/>
          <w:color w:val="000000"/>
          <w:kern w:val="0"/>
        </w:rPr>
      </w:pPr>
      <w:r>
        <w:rPr>
          <w:rFonts w:hint="eastAsia" w:ascii="黑体" w:hAnsi="黑体" w:eastAsia="黑体" w:cs="宋体"/>
          <w:color w:val="000000"/>
          <w:kern w:val="0"/>
        </w:rPr>
        <w:t>一、重点支</w:t>
      </w:r>
      <w:r>
        <w:rPr>
          <w:rFonts w:hint="eastAsia" w:ascii="仿宋_GB2312"/>
        </w:rPr>
        <w:t>密结合，突出市场和企业需求导向，围绕围绕福建省《实施创新驱动发展战略行动计划》、《福建省“十四五”科技发展和创新驱动专项规划》，大力推动军民融合科技创新发展，开展针对区域经济和社会发展产业化关键技术研发和成果转化，促进区域经济转方式调结构，提升重点产业技术支撑水</w:t>
      </w:r>
      <w:r>
        <w:rPr>
          <w:rFonts w:hint="eastAsia" w:ascii="黑体" w:hAnsi="黑体" w:eastAsia="黑体" w:cs="宋体"/>
          <w:color w:val="000000"/>
          <w:kern w:val="0"/>
        </w:rPr>
        <w:t>持方向</w:t>
      </w:r>
    </w:p>
    <w:p w14:paraId="2447252C">
      <w:pPr>
        <w:spacing w:line="400" w:lineRule="exact"/>
        <w:ind w:firstLine="640" w:firstLineChars="200"/>
        <w:rPr>
          <w:rFonts w:hint="eastAsia" w:ascii="仿宋_GB2312"/>
        </w:rPr>
      </w:pPr>
      <w:r>
        <w:rPr>
          <w:rFonts w:hint="eastAsia" w:ascii="仿宋_GB2312"/>
        </w:rPr>
        <w:t>各设区市及平潭综合实验区遴选、推荐的项目集成省市科技资源，产学研紧平和区域创新能力。</w:t>
      </w:r>
    </w:p>
    <w:p w14:paraId="0ED5EE31">
      <w:pPr>
        <w:spacing w:line="400" w:lineRule="exact"/>
        <w:ind w:firstLine="640" w:firstLineChars="200"/>
        <w:rPr>
          <w:rFonts w:hint="eastAsia" w:ascii="仿宋_GB2312"/>
        </w:rPr>
      </w:pPr>
      <w:r>
        <w:rPr>
          <w:rFonts w:hint="eastAsia" w:ascii="仿宋_GB2312"/>
        </w:rPr>
        <w:t>（一）工业和高新技术领域围绕省委、省政府《关于推进县域重点产业链高质量发展的意见》要求，根据《县域重点产业创新链调研报告》中各县（市区）梳理的重点产业链发展方向，针对电子信息和数字、先进装备制造、石油化工、现代纺织服装、冶金建材、新材料和新能源等产业，开展县域重点产业链关键共性技术攻关和成果转化。</w:t>
      </w:r>
    </w:p>
    <w:p w14:paraId="54E5EEAE">
      <w:pPr>
        <w:spacing w:line="400" w:lineRule="exact"/>
        <w:ind w:firstLine="640" w:firstLineChars="200"/>
        <w:rPr>
          <w:rFonts w:hint="eastAsia" w:ascii="仿宋_GB2312"/>
        </w:rPr>
      </w:pPr>
      <w:r>
        <w:rPr>
          <w:rFonts w:hint="eastAsia" w:ascii="仿宋_GB2312"/>
        </w:rPr>
        <w:t>（二）农业农村领域围绕省委、省政府关于农业科技工作的部署要求，积极践行大食物观，推进科技与食物、食品产业深度融合，提升农业产业链技术自主可控力与竞争力；开展特色种源核心技术攻关，收集、保护、鉴定、评价种质资源，培育多种自主知识产权新品种；推进精深加工及农机装备研发应用，研制丘陵山地适用的智能小型农林机械装备，开展智慧农场技术攻关；加强外来生物防控技术研究，建立有效防控外来生物的技术体系。开展智慧渔业、深远海养殖技术与装备开发。</w:t>
      </w:r>
    </w:p>
    <w:p w14:paraId="5FA8C839">
      <w:pPr>
        <w:spacing w:line="400" w:lineRule="exact"/>
        <w:ind w:firstLine="640" w:firstLineChars="200"/>
        <w:rPr>
          <w:rFonts w:hint="eastAsia" w:ascii="仿宋_GB2312"/>
        </w:rPr>
      </w:pPr>
      <w:r>
        <w:rPr>
          <w:rFonts w:hint="eastAsia" w:ascii="仿宋_GB2312"/>
        </w:rPr>
        <w:t>（三）社会发展领域围绕建设国家生态文明试验区、改善民生、建设和谐社会的迫切需求，针对区域经济和产业发展开展人口健康、资源环境、公共安全等社会发展科技领域核心关键技术攻关和成果转化应用。</w:t>
      </w:r>
    </w:p>
    <w:p w14:paraId="7C021645">
      <w:pPr>
        <w:spacing w:line="400" w:lineRule="exact"/>
        <w:ind w:firstLine="640" w:firstLineChars="200"/>
        <w:rPr>
          <w:rFonts w:hint="eastAsia" w:ascii="仿宋_GB2312"/>
        </w:rPr>
      </w:pPr>
      <w:r>
        <w:rPr>
          <w:rFonts w:hint="eastAsia" w:ascii="仿宋_GB2312"/>
        </w:rPr>
        <w:t>（四）支持福州新区与平潭综合实验区协同创新发展。支持福州新区企业牵头平潭综合实验区企事业单位合作申报协同创新专项。重点支持福州新区与平潭综合实验区立足两区资源禀赋、产业特色和地域特点，充分发挥“多区叠加”政策优势，推动新区和实验区一体化协同创新高质量发展。</w:t>
      </w:r>
    </w:p>
    <w:p w14:paraId="3C1165C2">
      <w:pPr>
        <w:spacing w:line="400" w:lineRule="exact"/>
        <w:ind w:firstLine="640" w:firstLineChars="200"/>
        <w:rPr>
          <w:rFonts w:hint="eastAsia" w:ascii="黑体" w:hAnsi="黑体" w:eastAsia="黑体" w:cs="宋体"/>
          <w:color w:val="000000"/>
          <w:kern w:val="0"/>
        </w:rPr>
      </w:pPr>
      <w:r>
        <w:rPr>
          <w:rFonts w:hint="eastAsia" w:ascii="黑体" w:hAnsi="黑体" w:eastAsia="黑体" w:cs="宋体"/>
          <w:color w:val="000000"/>
          <w:kern w:val="0"/>
        </w:rPr>
        <w:t>二、重点支持领域</w:t>
      </w:r>
    </w:p>
    <w:p w14:paraId="530F22CE">
      <w:pPr>
        <w:spacing w:line="400" w:lineRule="exact"/>
        <w:ind w:firstLine="720" w:firstLineChars="225"/>
        <w:rPr>
          <w:rFonts w:hint="eastAsia" w:ascii="楷体" w:hAnsi="楷体" w:eastAsia="楷体"/>
        </w:rPr>
      </w:pPr>
      <w:r>
        <w:rPr>
          <w:rFonts w:hint="eastAsia" w:ascii="楷体" w:hAnsi="楷体" w:eastAsia="楷体"/>
        </w:rPr>
        <w:t>（一）工业（申报代码：202</w:t>
      </w:r>
      <w:r>
        <w:rPr>
          <w:rFonts w:ascii="楷体" w:hAnsi="楷体" w:eastAsia="楷体"/>
        </w:rPr>
        <w:t>5</w:t>
      </w:r>
      <w:r>
        <w:rPr>
          <w:rFonts w:hint="eastAsia" w:ascii="楷体" w:hAnsi="楷体" w:eastAsia="楷体"/>
        </w:rPr>
        <w:t>H4101）</w:t>
      </w:r>
    </w:p>
    <w:p w14:paraId="3285D878">
      <w:pPr>
        <w:spacing w:line="400" w:lineRule="exact"/>
        <w:ind w:firstLine="640" w:firstLineChars="200"/>
        <w:rPr>
          <w:rFonts w:hint="eastAsia" w:ascii="仿宋_GB2312"/>
        </w:rPr>
      </w:pPr>
      <w:r>
        <w:rPr>
          <w:rFonts w:hint="eastAsia" w:ascii="仿宋_GB2312"/>
        </w:rPr>
        <w:t>1</w:t>
      </w:r>
      <w:r>
        <w:rPr>
          <w:rFonts w:ascii="仿宋_GB2312"/>
        </w:rPr>
        <w:t>.</w:t>
      </w:r>
      <w:r>
        <w:rPr>
          <w:rFonts w:hint="eastAsia" w:ascii="仿宋_GB2312"/>
        </w:rPr>
        <w:t>电子信息和数字产业</w:t>
      </w:r>
    </w:p>
    <w:p w14:paraId="235C7B79">
      <w:pPr>
        <w:spacing w:line="400" w:lineRule="exact"/>
        <w:ind w:firstLine="640" w:firstLineChars="200"/>
        <w:rPr>
          <w:rFonts w:hint="eastAsia" w:ascii="仿宋_GB2312"/>
        </w:rPr>
      </w:pPr>
      <w:r>
        <w:rPr>
          <w:rFonts w:hint="eastAsia" w:ascii="仿宋_GB2312"/>
        </w:rPr>
        <w:t>（</w:t>
      </w:r>
      <w:r>
        <w:rPr>
          <w:rFonts w:ascii="仿宋_GB2312"/>
        </w:rPr>
        <w:t>1</w:t>
      </w:r>
      <w:r>
        <w:rPr>
          <w:rFonts w:hint="eastAsia" w:ascii="仿宋_GB2312"/>
        </w:rPr>
        <w:t>）集成电路</w:t>
      </w:r>
    </w:p>
    <w:p w14:paraId="1E3EE2D8">
      <w:pPr>
        <w:spacing w:line="400" w:lineRule="exact"/>
        <w:ind w:firstLine="640" w:firstLineChars="200"/>
        <w:rPr>
          <w:rFonts w:hint="eastAsia" w:ascii="仿宋_GB2312"/>
        </w:rPr>
      </w:pPr>
      <w:r>
        <w:rPr>
          <w:rFonts w:hint="eastAsia" w:ascii="仿宋_GB2312"/>
        </w:rPr>
        <w:t>芯粒、异质集成、三维集成电路堆叠与互联、系统级/晶圆级先进封装技术，刻蚀、光刻、测试等先进工艺技术，集成电路高端装备材料研发，先进存储器、HBM等高端芯片技术。</w:t>
      </w:r>
    </w:p>
    <w:p w14:paraId="7B429A96">
      <w:pPr>
        <w:spacing w:line="400" w:lineRule="exact"/>
        <w:ind w:firstLine="640" w:firstLineChars="200"/>
        <w:rPr>
          <w:rFonts w:hint="eastAsia" w:ascii="仿宋_GB2312"/>
        </w:rPr>
      </w:pPr>
      <w:r>
        <w:rPr>
          <w:rFonts w:hint="eastAsia" w:ascii="仿宋_GB2312"/>
        </w:rPr>
        <w:t>（</w:t>
      </w:r>
      <w:r>
        <w:rPr>
          <w:rFonts w:ascii="仿宋_GB2312"/>
        </w:rPr>
        <w:t>2</w:t>
      </w:r>
      <w:r>
        <w:rPr>
          <w:rFonts w:hint="eastAsia" w:ascii="仿宋_GB2312"/>
        </w:rPr>
        <w:t>）新型显示</w:t>
      </w:r>
    </w:p>
    <w:p w14:paraId="01468831">
      <w:pPr>
        <w:spacing w:line="400" w:lineRule="exact"/>
        <w:ind w:firstLine="640" w:firstLineChars="200"/>
        <w:rPr>
          <w:rFonts w:hint="eastAsia" w:ascii="仿宋_GB2312"/>
        </w:rPr>
      </w:pPr>
      <w:r>
        <w:rPr>
          <w:rFonts w:hint="eastAsia" w:ascii="仿宋_GB2312"/>
        </w:rPr>
        <w:t>新型背光、柔性面板、微显示、激光显示等关键核心技术，新型OLED玻璃基板、光刻胶、低温多晶硅氧化物等关键材料研发，超高刷新率、超高迁移率和屏下摄像头、无偏光片、叠层等新技术、新工艺，电容触摸屏与中大型异形屏智能化生产技术。</w:t>
      </w:r>
    </w:p>
    <w:p w14:paraId="54B6D977">
      <w:pPr>
        <w:spacing w:line="400" w:lineRule="exact"/>
        <w:ind w:firstLine="640" w:firstLineChars="200"/>
        <w:rPr>
          <w:rFonts w:hint="eastAsia" w:ascii="仿宋_GB2312"/>
        </w:rPr>
      </w:pPr>
      <w:r>
        <w:rPr>
          <w:rFonts w:hint="eastAsia" w:ascii="仿宋_GB2312"/>
        </w:rPr>
        <w:t>（</w:t>
      </w:r>
      <w:r>
        <w:rPr>
          <w:rFonts w:ascii="仿宋_GB2312"/>
        </w:rPr>
        <w:t>3</w:t>
      </w:r>
      <w:r>
        <w:rPr>
          <w:rFonts w:hint="eastAsia" w:ascii="仿宋_GB2312"/>
        </w:rPr>
        <w:t>）光电信息</w:t>
      </w:r>
    </w:p>
    <w:p w14:paraId="7A50BBC0">
      <w:pPr>
        <w:spacing w:line="400" w:lineRule="exact"/>
        <w:ind w:firstLine="640" w:firstLineChars="200"/>
        <w:rPr>
          <w:rFonts w:hint="eastAsia" w:ascii="仿宋_GB2312"/>
        </w:rPr>
      </w:pPr>
      <w:r>
        <w:rPr>
          <w:rFonts w:hint="eastAsia" w:ascii="仿宋_GB2312"/>
        </w:rPr>
        <w:t>光通信、光芯片、光传导等高端光电技术，LED外延材料研发、芯片制造和应用技术。</w:t>
      </w:r>
    </w:p>
    <w:p w14:paraId="4B2F2114">
      <w:pPr>
        <w:spacing w:line="400" w:lineRule="exact"/>
        <w:ind w:firstLine="640" w:firstLineChars="200"/>
        <w:rPr>
          <w:rFonts w:hint="eastAsia" w:ascii="仿宋_GB2312"/>
        </w:rPr>
      </w:pPr>
      <w:r>
        <w:rPr>
          <w:rFonts w:hint="eastAsia" w:ascii="仿宋_GB2312"/>
        </w:rPr>
        <w:t>（</w:t>
      </w:r>
      <w:r>
        <w:rPr>
          <w:rFonts w:ascii="仿宋_GB2312"/>
        </w:rPr>
        <w:t>4</w:t>
      </w:r>
      <w:r>
        <w:rPr>
          <w:rFonts w:hint="eastAsia" w:ascii="仿宋_GB2312"/>
        </w:rPr>
        <w:t>）人工智能</w:t>
      </w:r>
    </w:p>
    <w:p w14:paraId="23222575">
      <w:pPr>
        <w:spacing w:line="400" w:lineRule="exact"/>
        <w:ind w:firstLine="640" w:firstLineChars="200"/>
        <w:rPr>
          <w:rFonts w:hint="eastAsia" w:ascii="仿宋_GB2312"/>
        </w:rPr>
      </w:pPr>
      <w:r>
        <w:rPr>
          <w:rFonts w:hint="eastAsia" w:ascii="仿宋_GB2312"/>
        </w:rPr>
        <w:t>多视角目标跟踪与行为分析等机器视觉技术、多模态生物特征识别技术，人机协调、自主智能等机器人关键技术，人工智能与工业的深度融合和创新应用技术。</w:t>
      </w:r>
    </w:p>
    <w:p w14:paraId="2F8B8F5C">
      <w:pPr>
        <w:spacing w:line="400" w:lineRule="exact"/>
        <w:ind w:firstLine="640" w:firstLineChars="200"/>
        <w:rPr>
          <w:rFonts w:hint="eastAsia" w:ascii="仿宋_GB2312"/>
        </w:rPr>
      </w:pPr>
      <w:r>
        <w:rPr>
          <w:rFonts w:hint="eastAsia" w:ascii="仿宋_GB2312"/>
        </w:rPr>
        <w:t>2</w:t>
      </w:r>
      <w:r>
        <w:rPr>
          <w:rFonts w:ascii="仿宋_GB2312"/>
        </w:rPr>
        <w:t>.</w:t>
      </w:r>
      <w:r>
        <w:rPr>
          <w:rFonts w:hint="eastAsia" w:ascii="仿宋_GB2312"/>
        </w:rPr>
        <w:t>先进装备制造产业</w:t>
      </w:r>
    </w:p>
    <w:p w14:paraId="0A6A067A">
      <w:pPr>
        <w:spacing w:line="400" w:lineRule="exact"/>
        <w:ind w:firstLine="640" w:firstLineChars="200"/>
        <w:rPr>
          <w:rFonts w:hint="eastAsia" w:ascii="仿宋_GB2312"/>
        </w:rPr>
      </w:pPr>
      <w:r>
        <w:rPr>
          <w:rFonts w:hint="eastAsia" w:ascii="仿宋_GB2312"/>
        </w:rPr>
        <w:t>（</w:t>
      </w:r>
      <w:r>
        <w:rPr>
          <w:rFonts w:ascii="仿宋_GB2312"/>
        </w:rPr>
        <w:t>1</w:t>
      </w:r>
      <w:r>
        <w:rPr>
          <w:rFonts w:hint="eastAsia" w:ascii="仿宋_GB2312"/>
        </w:rPr>
        <w:t>）关键零部件</w:t>
      </w:r>
    </w:p>
    <w:p w14:paraId="5658891E">
      <w:pPr>
        <w:spacing w:line="400" w:lineRule="exact"/>
        <w:ind w:firstLine="640" w:firstLineChars="200"/>
        <w:rPr>
          <w:rFonts w:hint="eastAsia" w:ascii="仿宋_GB2312"/>
        </w:rPr>
      </w:pPr>
      <w:r>
        <w:rPr>
          <w:rFonts w:hint="eastAsia" w:ascii="仿宋_GB2312"/>
        </w:rPr>
        <w:t>围绕高端装备，研发基于稀土永磁材料、高温超导材料、铝合金、镁合金、碳纤维、复合材料的基础零部件；轻量化、数字孪生等设计方法；增减材、特种能场等制造工艺；新能源电机及驱动器、工业伺服电机及驱动器以及高性能齿轮、轴承、液压/气动/密封件、变速箱等核心基础件；新型传感器、摄像头、雷达、电动马达、充电设备、特种导线、电力/输配/环保电缆、通信光缆等配件。</w:t>
      </w:r>
    </w:p>
    <w:p w14:paraId="10C1BC81">
      <w:pPr>
        <w:spacing w:line="400" w:lineRule="exact"/>
        <w:ind w:firstLine="640" w:firstLineChars="200"/>
        <w:rPr>
          <w:rFonts w:hint="eastAsia" w:ascii="仿宋_GB2312"/>
        </w:rPr>
      </w:pPr>
      <w:r>
        <w:rPr>
          <w:rFonts w:hint="eastAsia" w:ascii="仿宋_GB2312"/>
        </w:rPr>
        <w:t>（</w:t>
      </w:r>
      <w:r>
        <w:rPr>
          <w:rFonts w:ascii="仿宋_GB2312"/>
        </w:rPr>
        <w:t>2</w:t>
      </w:r>
      <w:r>
        <w:rPr>
          <w:rFonts w:hint="eastAsia" w:ascii="仿宋_GB2312"/>
        </w:rPr>
        <w:t>）装备与系统</w:t>
      </w:r>
    </w:p>
    <w:p w14:paraId="63B6BAD6">
      <w:pPr>
        <w:spacing w:line="400" w:lineRule="exact"/>
        <w:ind w:firstLine="640" w:firstLineChars="200"/>
        <w:rPr>
          <w:rFonts w:hint="eastAsia" w:ascii="仿宋_GB2312"/>
        </w:rPr>
      </w:pPr>
      <w:r>
        <w:rPr>
          <w:rFonts w:hint="eastAsia" w:ascii="仿宋_GB2312"/>
        </w:rPr>
        <w:t>围绕机器人、高档数控机床、轨道交通设备、航空装备、海洋工程装备、电动船舶、低空运载装备、智能建造装备、智能家具家居、新能源汽车、智能网联汽车、绿色冶金设备、环保设备、纺织机械、竹机械装备等，开展装备的设计、制造与运维技术研发，新一代信息技术在智能家具家居产业的应用，包括装备创新设计与性能优化，智能制造技术，智能运维技术等。</w:t>
      </w:r>
    </w:p>
    <w:p w14:paraId="208E5227">
      <w:pPr>
        <w:spacing w:line="400" w:lineRule="exact"/>
        <w:ind w:firstLine="640" w:firstLineChars="200"/>
        <w:rPr>
          <w:rFonts w:hint="eastAsia" w:ascii="仿宋_GB2312"/>
        </w:rPr>
      </w:pPr>
      <w:r>
        <w:rPr>
          <w:rFonts w:hint="eastAsia" w:ascii="仿宋_GB2312"/>
        </w:rPr>
        <w:t>3</w:t>
      </w:r>
      <w:r>
        <w:rPr>
          <w:rFonts w:ascii="仿宋_GB2312"/>
        </w:rPr>
        <w:t>.</w:t>
      </w:r>
      <w:r>
        <w:rPr>
          <w:rFonts w:hint="eastAsia" w:ascii="仿宋_GB2312"/>
        </w:rPr>
        <w:t>石油化工产业</w:t>
      </w:r>
    </w:p>
    <w:p w14:paraId="2D636D84">
      <w:pPr>
        <w:spacing w:line="400" w:lineRule="exact"/>
        <w:ind w:firstLine="640" w:firstLineChars="200"/>
        <w:rPr>
          <w:rFonts w:hint="eastAsia" w:ascii="仿宋_GB2312"/>
        </w:rPr>
      </w:pPr>
      <w:r>
        <w:rPr>
          <w:rFonts w:hint="eastAsia" w:ascii="仿宋_GB2312"/>
        </w:rPr>
        <w:t>（</w:t>
      </w:r>
      <w:r>
        <w:rPr>
          <w:rFonts w:ascii="仿宋_GB2312"/>
        </w:rPr>
        <w:t>1</w:t>
      </w:r>
      <w:r>
        <w:rPr>
          <w:rFonts w:hint="eastAsia" w:ascii="仿宋_GB2312"/>
        </w:rPr>
        <w:t>）绿色化工产品</w:t>
      </w:r>
    </w:p>
    <w:p w14:paraId="4423D146">
      <w:pPr>
        <w:spacing w:line="400" w:lineRule="exact"/>
        <w:ind w:firstLine="640" w:firstLineChars="200"/>
        <w:rPr>
          <w:rFonts w:hint="eastAsia" w:ascii="仿宋_GB2312"/>
        </w:rPr>
      </w:pPr>
      <w:r>
        <w:rPr>
          <w:rFonts w:hint="eastAsia" w:ascii="仿宋_GB2312"/>
        </w:rPr>
        <w:t>低污染、无污染的化学合成工艺和清洁生产技术研发，重点发展医药中间体、电子化学品、高性能涂料等高附加值产品；无毒无害的化工原料、生物质产品等。</w:t>
      </w:r>
    </w:p>
    <w:p w14:paraId="7531324C">
      <w:pPr>
        <w:spacing w:line="400" w:lineRule="exact"/>
        <w:ind w:firstLine="640" w:firstLineChars="200"/>
        <w:rPr>
          <w:rFonts w:hint="eastAsia" w:ascii="仿宋_GB2312"/>
        </w:rPr>
      </w:pPr>
      <w:r>
        <w:rPr>
          <w:rFonts w:hint="eastAsia" w:ascii="仿宋_GB2312"/>
        </w:rPr>
        <w:t>（</w:t>
      </w:r>
      <w:r>
        <w:rPr>
          <w:rFonts w:ascii="仿宋_GB2312"/>
        </w:rPr>
        <w:t>2</w:t>
      </w:r>
      <w:r>
        <w:rPr>
          <w:rFonts w:hint="eastAsia" w:ascii="仿宋_GB2312"/>
        </w:rPr>
        <w:t>）新材料产品</w:t>
      </w:r>
    </w:p>
    <w:p w14:paraId="71608F51">
      <w:pPr>
        <w:spacing w:line="400" w:lineRule="exact"/>
        <w:ind w:firstLine="640" w:firstLineChars="200"/>
        <w:rPr>
          <w:rFonts w:hint="eastAsia" w:ascii="仿宋_GB2312"/>
        </w:rPr>
      </w:pPr>
      <w:r>
        <w:rPr>
          <w:rFonts w:hint="eastAsia" w:ascii="仿宋_GB2312"/>
        </w:rPr>
        <w:t>高端聚烯烃材料、聚氨酯新材料、特种工程塑料、热塑性弹性体材料、有机氟硅材料、特种橡胶材料、功能膜材料等；耐腐蚀、耐高温、抗辐射等功能性材料；具有特殊功能的纳米复合材料；可降解塑料、保温隔热材料等。</w:t>
      </w:r>
    </w:p>
    <w:p w14:paraId="76FE1394">
      <w:pPr>
        <w:spacing w:line="400" w:lineRule="exact"/>
        <w:ind w:firstLine="640" w:firstLineChars="200"/>
        <w:rPr>
          <w:rFonts w:hint="eastAsia" w:ascii="仿宋_GB2312"/>
        </w:rPr>
      </w:pPr>
      <w:r>
        <w:rPr>
          <w:rFonts w:hint="eastAsia" w:ascii="仿宋_GB2312"/>
        </w:rPr>
        <w:t>（</w:t>
      </w:r>
      <w:r>
        <w:rPr>
          <w:rFonts w:ascii="仿宋_GB2312"/>
        </w:rPr>
        <w:t>3</w:t>
      </w:r>
      <w:r>
        <w:rPr>
          <w:rFonts w:hint="eastAsia" w:ascii="仿宋_GB2312"/>
        </w:rPr>
        <w:t>）智能制造技术</w:t>
      </w:r>
    </w:p>
    <w:p w14:paraId="17434F83">
      <w:pPr>
        <w:spacing w:line="400" w:lineRule="exact"/>
        <w:ind w:firstLine="640" w:firstLineChars="200"/>
        <w:rPr>
          <w:rFonts w:hint="eastAsia" w:ascii="仿宋_GB2312"/>
        </w:rPr>
      </w:pPr>
      <w:r>
        <w:rPr>
          <w:rFonts w:hint="eastAsia" w:ascii="仿宋_GB2312"/>
        </w:rPr>
        <w:t>自动化生产线和机器人化装备在本领域的应用，基于大数据和人工智能的生产监控和预测系统。</w:t>
      </w:r>
    </w:p>
    <w:p w14:paraId="7063F8E2">
      <w:pPr>
        <w:spacing w:line="400" w:lineRule="exact"/>
        <w:ind w:firstLine="640" w:firstLineChars="200"/>
        <w:rPr>
          <w:rFonts w:hint="eastAsia" w:ascii="仿宋_GB2312"/>
        </w:rPr>
      </w:pPr>
      <w:r>
        <w:rPr>
          <w:rFonts w:hint="eastAsia" w:ascii="仿宋_GB2312"/>
        </w:rPr>
        <w:t>4</w:t>
      </w:r>
      <w:r>
        <w:rPr>
          <w:rFonts w:ascii="仿宋_GB2312"/>
        </w:rPr>
        <w:t>.</w:t>
      </w:r>
      <w:r>
        <w:rPr>
          <w:rFonts w:hint="eastAsia" w:ascii="仿宋_GB2312"/>
        </w:rPr>
        <w:t>现代纺织服装产业</w:t>
      </w:r>
    </w:p>
    <w:p w14:paraId="2A0ABAC6">
      <w:pPr>
        <w:spacing w:line="400" w:lineRule="exact"/>
        <w:ind w:firstLine="640" w:firstLineChars="200"/>
        <w:rPr>
          <w:rFonts w:hint="eastAsia" w:ascii="仿宋_GB2312"/>
        </w:rPr>
      </w:pPr>
      <w:r>
        <w:rPr>
          <w:rFonts w:hint="eastAsia" w:ascii="仿宋_GB2312"/>
        </w:rPr>
        <w:t>（</w:t>
      </w:r>
      <w:r>
        <w:rPr>
          <w:rFonts w:ascii="仿宋_GB2312"/>
        </w:rPr>
        <w:t>1</w:t>
      </w:r>
      <w:r>
        <w:rPr>
          <w:rFonts w:hint="eastAsia" w:ascii="仿宋_GB2312"/>
        </w:rPr>
        <w:t>）纺织材料创新</w:t>
      </w:r>
    </w:p>
    <w:p w14:paraId="7DF636F0">
      <w:pPr>
        <w:spacing w:line="400" w:lineRule="exact"/>
        <w:ind w:firstLine="640" w:firstLineChars="200"/>
        <w:rPr>
          <w:rFonts w:hint="eastAsia" w:ascii="仿宋_GB2312"/>
        </w:rPr>
      </w:pPr>
      <w:r>
        <w:rPr>
          <w:rFonts w:hint="eastAsia" w:ascii="仿宋_GB2312"/>
        </w:rPr>
        <w:t>抗菌、防水透湿、保暖等功能性材料，以及智能温控、健康监测等智能纺织品；阻燃、抗菌、防污、透湿透气、耐腐蚀、可再生鞋服面料/皮革以及轻质、高弹、高强运动鞋底材料；可降解材料、再生纤维材料；具有传感、变色、调温、自修复等功能的智能鞋材；汽车用的阻燃合成革；超细旦纤维、截面异形纤维、芳烃纤维、高导湿涤纶纤维、溶剂法纤维素纤维等关键技术。智能穿戴设备、个性化运动服务等满足不同人群运动需求的新技术，健康体育产业生产经营和管理服务数字化技术。</w:t>
      </w:r>
    </w:p>
    <w:p w14:paraId="0EB364D3">
      <w:pPr>
        <w:spacing w:line="400" w:lineRule="exact"/>
        <w:ind w:firstLine="640" w:firstLineChars="200"/>
        <w:rPr>
          <w:rFonts w:hint="eastAsia" w:ascii="仿宋_GB2312"/>
        </w:rPr>
      </w:pPr>
      <w:r>
        <w:rPr>
          <w:rFonts w:hint="eastAsia" w:ascii="仿宋_GB2312"/>
        </w:rPr>
        <w:t>（</w:t>
      </w:r>
      <w:r>
        <w:rPr>
          <w:rFonts w:ascii="仿宋_GB2312"/>
        </w:rPr>
        <w:t>2</w:t>
      </w:r>
      <w:r>
        <w:rPr>
          <w:rFonts w:hint="eastAsia" w:ascii="仿宋_GB2312"/>
        </w:rPr>
        <w:t>）生产技术</w:t>
      </w:r>
    </w:p>
    <w:p w14:paraId="7E6EC9C2">
      <w:pPr>
        <w:spacing w:line="400" w:lineRule="exact"/>
        <w:ind w:firstLine="640" w:firstLineChars="200"/>
        <w:rPr>
          <w:rFonts w:hint="eastAsia" w:ascii="仿宋_GB2312"/>
        </w:rPr>
      </w:pPr>
      <w:r>
        <w:rPr>
          <w:rFonts w:hint="eastAsia" w:ascii="仿宋_GB2312"/>
        </w:rPr>
        <w:t>3D设计与打印技术，纺织机械、制鞋设备智能化与数字化，印染新技术，清洁生产、污染防治、绿色织造染整、环保染料助剂和节能减排技术等。</w:t>
      </w:r>
    </w:p>
    <w:p w14:paraId="4D1F8A40">
      <w:pPr>
        <w:spacing w:line="400" w:lineRule="exact"/>
        <w:ind w:firstLine="640" w:firstLineChars="200"/>
        <w:rPr>
          <w:rFonts w:hint="eastAsia" w:ascii="仿宋_GB2312"/>
        </w:rPr>
      </w:pPr>
      <w:r>
        <w:rPr>
          <w:rFonts w:hint="eastAsia" w:ascii="仿宋_GB2312"/>
        </w:rPr>
        <w:t>5</w:t>
      </w:r>
      <w:r>
        <w:rPr>
          <w:rFonts w:ascii="仿宋_GB2312"/>
        </w:rPr>
        <w:t>.</w:t>
      </w:r>
      <w:r>
        <w:rPr>
          <w:rFonts w:hint="eastAsia" w:ascii="仿宋_GB2312"/>
        </w:rPr>
        <w:t>冶金产业</w:t>
      </w:r>
    </w:p>
    <w:p w14:paraId="0B82576B">
      <w:pPr>
        <w:spacing w:line="400" w:lineRule="exact"/>
        <w:ind w:firstLine="640" w:firstLineChars="200"/>
        <w:rPr>
          <w:rFonts w:hint="eastAsia" w:ascii="仿宋_GB2312"/>
        </w:rPr>
      </w:pPr>
      <w:r>
        <w:rPr>
          <w:rFonts w:hint="eastAsia" w:ascii="仿宋_GB2312"/>
        </w:rPr>
        <w:t>（</w:t>
      </w:r>
      <w:r>
        <w:rPr>
          <w:rFonts w:ascii="仿宋_GB2312"/>
        </w:rPr>
        <w:t>1</w:t>
      </w:r>
      <w:r>
        <w:rPr>
          <w:rFonts w:hint="eastAsia" w:ascii="仿宋_GB2312"/>
        </w:rPr>
        <w:t>）精深加工工艺</w:t>
      </w:r>
    </w:p>
    <w:p w14:paraId="6E91F7F7">
      <w:pPr>
        <w:spacing w:line="400" w:lineRule="exact"/>
        <w:ind w:firstLine="640" w:firstLineChars="200"/>
        <w:rPr>
          <w:rFonts w:hint="eastAsia" w:ascii="仿宋_GB2312"/>
        </w:rPr>
      </w:pPr>
      <w:r>
        <w:rPr>
          <w:rFonts w:hint="eastAsia" w:ascii="仿宋_GB2312"/>
        </w:rPr>
        <w:t>聚焦高新技术领域的终端产品需求，重点发展矿物冶炼、材料加工新技术，研发高性能、高强韧、高耐热性、高耐腐蚀性、轻量化、可资源化新材料。</w:t>
      </w:r>
    </w:p>
    <w:p w14:paraId="2100AC1A">
      <w:pPr>
        <w:spacing w:line="400" w:lineRule="exact"/>
        <w:ind w:firstLine="640" w:firstLineChars="200"/>
        <w:rPr>
          <w:rFonts w:hint="eastAsia" w:ascii="仿宋_GB2312"/>
        </w:rPr>
      </w:pPr>
      <w:r>
        <w:rPr>
          <w:rFonts w:hint="eastAsia" w:ascii="仿宋_GB2312"/>
        </w:rPr>
        <w:t>（</w:t>
      </w:r>
      <w:r>
        <w:rPr>
          <w:rFonts w:ascii="仿宋_GB2312"/>
        </w:rPr>
        <w:t>2</w:t>
      </w:r>
      <w:r>
        <w:rPr>
          <w:rFonts w:hint="eastAsia" w:ascii="仿宋_GB2312"/>
        </w:rPr>
        <w:t>）产业数字化改造</w:t>
      </w:r>
    </w:p>
    <w:p w14:paraId="4D3EE927">
      <w:pPr>
        <w:spacing w:line="400" w:lineRule="exact"/>
        <w:ind w:firstLine="640" w:firstLineChars="200"/>
        <w:rPr>
          <w:rFonts w:hint="eastAsia" w:ascii="仿宋_GB2312"/>
        </w:rPr>
      </w:pPr>
      <w:r>
        <w:rPr>
          <w:rFonts w:hint="eastAsia" w:ascii="仿宋_GB2312"/>
        </w:rPr>
        <w:t>深度融合大数据、人工智能、5G等技术，加快冶金产业全链条数字技术改造，推进产业绿色化、无人工厂、智能车间、黑灯工厂建设。</w:t>
      </w:r>
    </w:p>
    <w:p w14:paraId="76703AF4">
      <w:pPr>
        <w:spacing w:line="400" w:lineRule="exact"/>
        <w:ind w:firstLine="640" w:firstLineChars="200"/>
        <w:rPr>
          <w:rFonts w:hint="eastAsia" w:ascii="仿宋_GB2312"/>
        </w:rPr>
      </w:pPr>
      <w:r>
        <w:rPr>
          <w:rFonts w:hint="eastAsia" w:ascii="仿宋_GB2312"/>
        </w:rPr>
        <w:t>（</w:t>
      </w:r>
      <w:r>
        <w:rPr>
          <w:rFonts w:ascii="仿宋_GB2312"/>
        </w:rPr>
        <w:t>3</w:t>
      </w:r>
      <w:r>
        <w:rPr>
          <w:rFonts w:hint="eastAsia" w:ascii="仿宋_GB2312"/>
        </w:rPr>
        <w:t>）资源低碳利用</w:t>
      </w:r>
    </w:p>
    <w:p w14:paraId="7CE204E9">
      <w:pPr>
        <w:spacing w:line="400" w:lineRule="exact"/>
        <w:ind w:firstLine="640" w:firstLineChars="200"/>
        <w:rPr>
          <w:rFonts w:hint="eastAsia" w:ascii="仿宋_GB2312"/>
        </w:rPr>
      </w:pPr>
      <w:r>
        <w:rPr>
          <w:rFonts w:hint="eastAsia" w:ascii="仿宋_GB2312"/>
        </w:rPr>
        <w:t>加强低品位难处理资源综合利用、固废回收资源利用、污水处理等技术攻关，重点发展硫磷化工、硫氟化工、建材等资源综合利用产业。高效、节能的减排技术，如工业窑炉节能技术、余热回收技术等。</w:t>
      </w:r>
    </w:p>
    <w:p w14:paraId="267A0D77">
      <w:pPr>
        <w:spacing w:line="400" w:lineRule="exact"/>
        <w:ind w:firstLine="640" w:firstLineChars="200"/>
        <w:rPr>
          <w:rFonts w:hint="eastAsia" w:ascii="仿宋_GB2312"/>
        </w:rPr>
      </w:pPr>
      <w:r>
        <w:rPr>
          <w:rFonts w:hint="eastAsia" w:ascii="仿宋_GB2312"/>
        </w:rPr>
        <w:t>6</w:t>
      </w:r>
      <w:r>
        <w:rPr>
          <w:rFonts w:ascii="仿宋_GB2312"/>
        </w:rPr>
        <w:t>.</w:t>
      </w:r>
      <w:r>
        <w:rPr>
          <w:rFonts w:hint="eastAsia" w:ascii="仿宋_GB2312"/>
        </w:rPr>
        <w:t>建材产业</w:t>
      </w:r>
    </w:p>
    <w:p w14:paraId="7212884E">
      <w:pPr>
        <w:spacing w:line="400" w:lineRule="exact"/>
        <w:ind w:firstLine="640" w:firstLineChars="200"/>
        <w:rPr>
          <w:rFonts w:hint="eastAsia" w:ascii="仿宋_GB2312"/>
        </w:rPr>
      </w:pPr>
      <w:r>
        <w:rPr>
          <w:rFonts w:hint="eastAsia" w:ascii="仿宋_GB2312"/>
        </w:rPr>
        <w:t>陶瓷泥料新技术；石材高效利用技术；红木材料的物理性能、化学性能和力学性能等研究，对红木材料的改性处理等技术手段。</w:t>
      </w:r>
    </w:p>
    <w:p w14:paraId="388360A4">
      <w:pPr>
        <w:spacing w:line="400" w:lineRule="exact"/>
        <w:ind w:firstLine="640" w:firstLineChars="200"/>
        <w:rPr>
          <w:rFonts w:hint="eastAsia" w:ascii="仿宋_GB2312"/>
        </w:rPr>
      </w:pPr>
      <w:r>
        <w:rPr>
          <w:rFonts w:hint="eastAsia" w:ascii="仿宋_GB2312"/>
        </w:rPr>
        <w:t>高效线锯技术，水暖厨卫抗菌技术，新型高分子材料替代陶瓷技术，新型环保表面技术，环保经济卫生陶瓷、五金材料。新型生态环保建筑材料，混凝土预制构件、复合墙板、电缆等新产品，装配式护栏、一体化保温防水材料。</w:t>
      </w:r>
    </w:p>
    <w:p w14:paraId="2AE05B16">
      <w:pPr>
        <w:spacing w:line="400" w:lineRule="exact"/>
        <w:ind w:firstLine="640" w:firstLineChars="200"/>
        <w:rPr>
          <w:rFonts w:hint="eastAsia" w:ascii="仿宋_GB2312"/>
        </w:rPr>
      </w:pPr>
      <w:r>
        <w:rPr>
          <w:rFonts w:hint="eastAsia" w:ascii="仿宋_GB2312"/>
        </w:rPr>
        <w:t>智能设计软件、智能制造装备及技术在石雕、陶瓷、红木等行业的研究及应用。先进的质量检测技术和设备。</w:t>
      </w:r>
    </w:p>
    <w:p w14:paraId="3E96AD5E">
      <w:pPr>
        <w:spacing w:line="400" w:lineRule="exact"/>
        <w:ind w:firstLine="640" w:firstLineChars="200"/>
        <w:rPr>
          <w:rFonts w:hint="eastAsia" w:ascii="仿宋_GB2312"/>
        </w:rPr>
      </w:pPr>
      <w:r>
        <w:rPr>
          <w:rFonts w:hint="eastAsia" w:ascii="仿宋_GB2312"/>
        </w:rPr>
        <w:t>7</w:t>
      </w:r>
      <w:r>
        <w:rPr>
          <w:rFonts w:ascii="仿宋_GB2312"/>
        </w:rPr>
        <w:t>.</w:t>
      </w:r>
      <w:r>
        <w:rPr>
          <w:rFonts w:hint="eastAsia" w:ascii="仿宋_GB2312"/>
        </w:rPr>
        <w:t>新材料产业</w:t>
      </w:r>
    </w:p>
    <w:p w14:paraId="09DB1354">
      <w:pPr>
        <w:spacing w:line="400" w:lineRule="exact"/>
        <w:ind w:firstLine="640" w:firstLineChars="200"/>
        <w:rPr>
          <w:rFonts w:hint="eastAsia" w:ascii="仿宋_GB2312"/>
        </w:rPr>
      </w:pPr>
      <w:r>
        <w:rPr>
          <w:rFonts w:hint="eastAsia" w:ascii="仿宋_GB2312"/>
        </w:rPr>
        <w:t>（</w:t>
      </w:r>
      <w:r>
        <w:rPr>
          <w:rFonts w:ascii="仿宋_GB2312"/>
        </w:rPr>
        <w:t>1</w:t>
      </w:r>
      <w:r>
        <w:rPr>
          <w:rFonts w:hint="eastAsia" w:ascii="仿宋_GB2312"/>
        </w:rPr>
        <w:t>）含氟新材料</w:t>
      </w:r>
    </w:p>
    <w:p w14:paraId="4AB4EB89">
      <w:pPr>
        <w:spacing w:line="400" w:lineRule="exact"/>
        <w:ind w:firstLine="640" w:firstLineChars="200"/>
        <w:rPr>
          <w:rFonts w:hint="eastAsia" w:ascii="仿宋_GB2312"/>
        </w:rPr>
      </w:pPr>
      <w:r>
        <w:rPr>
          <w:rFonts w:hint="eastAsia" w:ascii="仿宋_GB2312"/>
        </w:rPr>
        <w:t>以四氟乙烯、六氟环氧丙烷为基础延伸发展含氟产业链。高端含氟精细化学品以及高性能含氟聚合物。含氟精细化学品合成技术、含氟电子化学品提纯、氟化技术等核心技术。</w:t>
      </w:r>
    </w:p>
    <w:p w14:paraId="03EA2C2F">
      <w:pPr>
        <w:spacing w:line="400" w:lineRule="exact"/>
        <w:ind w:firstLine="640" w:firstLineChars="200"/>
        <w:rPr>
          <w:rFonts w:hint="eastAsia" w:ascii="仿宋_GB2312"/>
        </w:rPr>
      </w:pPr>
      <w:r>
        <w:rPr>
          <w:rFonts w:hint="eastAsia" w:ascii="仿宋_GB2312"/>
        </w:rPr>
        <w:t>（</w:t>
      </w:r>
      <w:r>
        <w:rPr>
          <w:rFonts w:ascii="仿宋_GB2312"/>
        </w:rPr>
        <w:t>2</w:t>
      </w:r>
      <w:r>
        <w:rPr>
          <w:rFonts w:hint="eastAsia" w:ascii="仿宋_GB2312"/>
        </w:rPr>
        <w:t>）石墨和石墨烯材料</w:t>
      </w:r>
    </w:p>
    <w:p w14:paraId="6D303653">
      <w:pPr>
        <w:spacing w:line="400" w:lineRule="exact"/>
        <w:ind w:firstLine="640" w:firstLineChars="200"/>
        <w:rPr>
          <w:rFonts w:hint="eastAsia" w:ascii="仿宋_GB2312"/>
        </w:rPr>
      </w:pPr>
      <w:r>
        <w:rPr>
          <w:rFonts w:hint="eastAsia" w:ascii="仿宋_GB2312"/>
        </w:rPr>
        <w:t>高性能、低成本的石墨材料。微晶石墨应用于锂、钠离子电池关键材料（包括负极材料、导电材料等）的产业化关键技术；高端冶炼炉石墨电极材料、石墨坩埚。功能性新型碳材料；氟化石墨、硅碳负极材料等氟硅新材料；石墨烯在新型纤维、家居装饰等领域的应用。</w:t>
      </w:r>
    </w:p>
    <w:p w14:paraId="65466936">
      <w:pPr>
        <w:spacing w:line="400" w:lineRule="exact"/>
        <w:ind w:firstLine="640" w:firstLineChars="200"/>
        <w:rPr>
          <w:rFonts w:hint="eastAsia" w:ascii="仿宋_GB2312"/>
        </w:rPr>
      </w:pPr>
      <w:r>
        <w:rPr>
          <w:rFonts w:hint="eastAsia" w:ascii="仿宋_GB2312"/>
        </w:rPr>
        <w:t>（</w:t>
      </w:r>
      <w:r>
        <w:rPr>
          <w:rFonts w:ascii="仿宋_GB2312"/>
        </w:rPr>
        <w:t>3</w:t>
      </w:r>
      <w:r>
        <w:rPr>
          <w:rFonts w:hint="eastAsia" w:ascii="仿宋_GB2312"/>
        </w:rPr>
        <w:t>）锂/钠电池新材料</w:t>
      </w:r>
    </w:p>
    <w:p w14:paraId="1EC92970">
      <w:pPr>
        <w:spacing w:line="400" w:lineRule="exact"/>
        <w:ind w:firstLine="640" w:firstLineChars="200"/>
        <w:rPr>
          <w:rFonts w:hint="eastAsia" w:ascii="仿宋_GB2312"/>
        </w:rPr>
      </w:pPr>
      <w:r>
        <w:rPr>
          <w:rFonts w:hint="eastAsia" w:ascii="仿宋_GB2312"/>
        </w:rPr>
        <w:t>锂/钠电池的新材料、废旧电池的回收。</w:t>
      </w:r>
    </w:p>
    <w:p w14:paraId="17E2CABC">
      <w:pPr>
        <w:spacing w:line="400" w:lineRule="exact"/>
        <w:ind w:firstLine="640" w:firstLineChars="200"/>
        <w:rPr>
          <w:rFonts w:hint="eastAsia" w:ascii="仿宋_GB2312"/>
        </w:rPr>
      </w:pPr>
      <w:r>
        <w:rPr>
          <w:rFonts w:hint="eastAsia" w:ascii="仿宋_GB2312"/>
        </w:rPr>
        <w:t>（</w:t>
      </w:r>
      <w:r>
        <w:rPr>
          <w:rFonts w:ascii="仿宋_GB2312"/>
        </w:rPr>
        <w:t>4</w:t>
      </w:r>
      <w:r>
        <w:rPr>
          <w:rFonts w:hint="eastAsia" w:ascii="仿宋_GB2312"/>
        </w:rPr>
        <w:t>）稀土材料</w:t>
      </w:r>
    </w:p>
    <w:p w14:paraId="48667869">
      <w:pPr>
        <w:spacing w:line="400" w:lineRule="exact"/>
        <w:ind w:firstLine="640" w:firstLineChars="200"/>
        <w:rPr>
          <w:rFonts w:hint="eastAsia" w:ascii="仿宋_GB2312"/>
        </w:rPr>
      </w:pPr>
      <w:r>
        <w:rPr>
          <w:rFonts w:hint="eastAsia" w:ascii="仿宋_GB2312"/>
        </w:rPr>
        <w:t>稀土氧化物粉体的新型制备方法；改进提纯工艺、萃取分离技术；不同掺杂元素对稀土材料性能影响的研究；新型稀土功能材料和器件；高纯稀土金属及合金，高端靶材制备技术；高性能稀土永磁材料；稀土高温结构材料。</w:t>
      </w:r>
    </w:p>
    <w:p w14:paraId="7E80FF77">
      <w:pPr>
        <w:spacing w:line="400" w:lineRule="exact"/>
        <w:ind w:firstLine="640" w:firstLineChars="200"/>
        <w:rPr>
          <w:rFonts w:hint="eastAsia" w:ascii="仿宋_GB2312"/>
        </w:rPr>
      </w:pPr>
      <w:r>
        <w:rPr>
          <w:rFonts w:hint="eastAsia" w:ascii="仿宋_GB2312"/>
        </w:rPr>
        <w:t>（</w:t>
      </w:r>
      <w:r>
        <w:rPr>
          <w:rFonts w:ascii="仿宋_GB2312"/>
        </w:rPr>
        <w:t>5</w:t>
      </w:r>
      <w:r>
        <w:rPr>
          <w:rFonts w:hint="eastAsia" w:ascii="仿宋_GB2312"/>
        </w:rPr>
        <w:t>）生产技术</w:t>
      </w:r>
    </w:p>
    <w:p w14:paraId="3DDF08DD">
      <w:pPr>
        <w:spacing w:line="400" w:lineRule="exact"/>
        <w:ind w:firstLine="640" w:firstLineChars="200"/>
        <w:rPr>
          <w:rFonts w:hint="eastAsia" w:ascii="仿宋_GB2312"/>
        </w:rPr>
      </w:pPr>
      <w:r>
        <w:rPr>
          <w:rFonts w:hint="eastAsia" w:ascii="仿宋_GB2312"/>
        </w:rPr>
        <w:t>绿色清洁生产技术、污染物治理技术、矿石资源高效利用、智能仓储和智慧物流等技术。</w:t>
      </w:r>
    </w:p>
    <w:p w14:paraId="7BEC92CF">
      <w:pPr>
        <w:spacing w:line="400" w:lineRule="exact"/>
        <w:ind w:firstLine="640" w:firstLineChars="200"/>
        <w:rPr>
          <w:rFonts w:hint="eastAsia" w:ascii="仿宋_GB2312"/>
        </w:rPr>
      </w:pPr>
      <w:r>
        <w:rPr>
          <w:rFonts w:hint="eastAsia" w:ascii="仿宋_GB2312"/>
        </w:rPr>
        <w:t>8</w:t>
      </w:r>
      <w:r>
        <w:rPr>
          <w:rFonts w:ascii="仿宋_GB2312"/>
        </w:rPr>
        <w:t>.</w:t>
      </w:r>
      <w:r>
        <w:rPr>
          <w:rFonts w:hint="eastAsia" w:ascii="仿宋_GB2312"/>
        </w:rPr>
        <w:t>新能源产业</w:t>
      </w:r>
    </w:p>
    <w:p w14:paraId="76CD1479">
      <w:pPr>
        <w:spacing w:line="400" w:lineRule="exact"/>
        <w:ind w:firstLine="640" w:firstLineChars="200"/>
        <w:rPr>
          <w:rFonts w:hint="eastAsia" w:ascii="仿宋_GB2312"/>
        </w:rPr>
      </w:pPr>
      <w:r>
        <w:rPr>
          <w:rFonts w:hint="eastAsia" w:ascii="仿宋_GB2312"/>
        </w:rPr>
        <w:t>高能量密度、长寿命、低成本、高储量电池材料；电池材料本征特性、运行机理和多尺度仿真分析优化技术；动力电池安全设计和快速散热热管理系统开发；新型电池关键技术开发及产业化；长时储能技术；储能单体层隔热材料、储能模组安全预警、系统层热蔓延抑制设计和系统层自动灭火等关键技术；新型储能产品高安全、高可靠、高自动化、多工艺兼容生产制造关键技术；电池全生命周期智能化管理关键技术及平台开发；高效电池回收和资源循环利用技术及产业化；智能化、高稳定性动力锂电池模组及PACK快速检测产线关键技术及设备研发；储能系统模块化、高效均衡及PCS关键技术；新能源汽车主动安全防护及智能超级快充充电桩关键技术；高效、稳定的绿色能源技术。</w:t>
      </w:r>
    </w:p>
    <w:p w14:paraId="1B444EBF">
      <w:pPr>
        <w:spacing w:line="400" w:lineRule="exact"/>
        <w:ind w:firstLine="640" w:firstLineChars="200"/>
        <w:rPr>
          <w:rFonts w:hint="eastAsia" w:ascii="仿宋_GB2312"/>
        </w:rPr>
      </w:pPr>
    </w:p>
    <w:p w14:paraId="1FADAE56">
      <w:pPr>
        <w:spacing w:line="400" w:lineRule="exact"/>
        <w:ind w:firstLine="640" w:firstLineChars="200"/>
        <w:rPr>
          <w:rFonts w:hint="eastAsia" w:ascii="楷体" w:hAnsi="楷体" w:eastAsia="楷体"/>
        </w:rPr>
      </w:pPr>
      <w:r>
        <w:rPr>
          <w:rFonts w:hint="eastAsia" w:ascii="楷体" w:hAnsi="楷体" w:eastAsia="楷体"/>
        </w:rPr>
        <w:t>（二）农业（申报代码：</w:t>
      </w:r>
      <w:r>
        <w:rPr>
          <w:rFonts w:hint="eastAsia" w:ascii="楷体" w:hAnsi="楷体" w:eastAsia="楷体" w:cs="宋体"/>
          <w:kern w:val="0"/>
        </w:rPr>
        <w:t>202</w:t>
      </w:r>
      <w:r>
        <w:rPr>
          <w:rFonts w:ascii="楷体" w:hAnsi="楷体" w:eastAsia="楷体" w:cs="宋体"/>
          <w:kern w:val="0"/>
        </w:rPr>
        <w:t>5</w:t>
      </w:r>
      <w:r>
        <w:rPr>
          <w:rFonts w:hint="eastAsia" w:ascii="楷体" w:hAnsi="楷体" w:eastAsia="楷体" w:cs="宋体"/>
          <w:kern w:val="0"/>
        </w:rPr>
        <w:t>N3101</w:t>
      </w:r>
      <w:r>
        <w:rPr>
          <w:rFonts w:hint="eastAsia" w:ascii="楷体" w:hAnsi="楷体" w:eastAsia="楷体" w:cs="宋体"/>
          <w:kern w:val="0"/>
          <w:sz w:val="24"/>
        </w:rPr>
        <w:t>）</w:t>
      </w:r>
    </w:p>
    <w:p w14:paraId="2CD5B35C">
      <w:pPr>
        <w:spacing w:line="400" w:lineRule="exact"/>
        <w:ind w:firstLine="640" w:firstLineChars="200"/>
        <w:rPr>
          <w:rFonts w:hint="eastAsia" w:ascii="仿宋_GB2312"/>
        </w:rPr>
      </w:pPr>
      <w:r>
        <w:rPr>
          <w:rFonts w:hint="eastAsia" w:ascii="仿宋_GB2312"/>
        </w:rPr>
        <w:t>1</w:t>
      </w:r>
      <w:r>
        <w:rPr>
          <w:rFonts w:ascii="仿宋_GB2312"/>
        </w:rPr>
        <w:t>.</w:t>
      </w:r>
      <w:r>
        <w:rPr>
          <w:rFonts w:hint="eastAsia" w:ascii="仿宋_GB2312"/>
        </w:rPr>
        <w:t>种业创新技术。以农作物、畜禽水产、林果花草和食用菌等为重点，突破种质资源挖掘、工程化育种、新品种创制、规模化测试、良种繁育、种子加工等核心关键技术，培育一批有效聚合高产、高效、优质、多抗、广适等多元优良性状的突破性动植物和菌物新品种。加大省外、国（境）外引进生物物种资源筛查、甄别检验和开发利用技术研究，加大对野生种质资源的发掘、收集、评价和利用，建设一批动植物和菌物种质资源库，创制高价值的育种新材料、新品系、新品种。</w:t>
      </w:r>
    </w:p>
    <w:p w14:paraId="4FBAE88B">
      <w:pPr>
        <w:spacing w:line="400" w:lineRule="exact"/>
        <w:ind w:firstLine="640" w:firstLineChars="200"/>
        <w:rPr>
          <w:rFonts w:hint="eastAsia" w:ascii="仿宋_GB2312"/>
        </w:rPr>
      </w:pPr>
      <w:r>
        <w:rPr>
          <w:rFonts w:hint="eastAsia" w:ascii="仿宋_GB2312"/>
        </w:rPr>
        <w:t>2</w:t>
      </w:r>
      <w:r>
        <w:rPr>
          <w:rFonts w:ascii="仿宋_GB2312"/>
        </w:rPr>
        <w:t>.</w:t>
      </w:r>
      <w:r>
        <w:rPr>
          <w:rFonts w:hint="eastAsia" w:ascii="仿宋_GB2312"/>
        </w:rPr>
        <w:t>农作物高产增效种植技术。开展农作物资源高效利用生理生态机制、抗逆栽培和丰产技术、配套设施与智能机械设备等关键技术研究，重点加强专用配方肥、缓控释肥、土壤改良剂、肥药协同及肥药增效功能制剂研发。</w:t>
      </w:r>
    </w:p>
    <w:p w14:paraId="411FB1E1">
      <w:pPr>
        <w:spacing w:line="400" w:lineRule="exact"/>
        <w:ind w:firstLine="640" w:firstLineChars="200"/>
        <w:rPr>
          <w:rFonts w:hint="eastAsia" w:ascii="仿宋_GB2312"/>
        </w:rPr>
      </w:pPr>
      <w:r>
        <w:rPr>
          <w:rFonts w:hint="eastAsia" w:ascii="仿宋_GB2312"/>
        </w:rPr>
        <w:t>3</w:t>
      </w:r>
      <w:r>
        <w:rPr>
          <w:rFonts w:ascii="仿宋_GB2312"/>
        </w:rPr>
        <w:t>.</w:t>
      </w:r>
      <w:r>
        <w:rPr>
          <w:rFonts w:hint="eastAsia" w:ascii="仿宋_GB2312"/>
        </w:rPr>
        <w:t>畜禽安全高效养殖技术。开展主要动物疫病检测与防控、主要畜禽安全健康养殖工艺与环境控制、畜禽养殖设施设备、养殖废弃物无害化处理与资源化利用、饲料与饲料添加剂产业等技术研发。</w:t>
      </w:r>
    </w:p>
    <w:p w14:paraId="020B487E">
      <w:pPr>
        <w:spacing w:line="400" w:lineRule="exact"/>
        <w:ind w:firstLine="640" w:firstLineChars="200"/>
        <w:rPr>
          <w:rFonts w:hint="eastAsia" w:ascii="仿宋_GB2312"/>
        </w:rPr>
      </w:pPr>
      <w:r>
        <w:rPr>
          <w:rFonts w:hint="eastAsia" w:ascii="仿宋_GB2312"/>
        </w:rPr>
        <w:t>4</w:t>
      </w:r>
      <w:r>
        <w:rPr>
          <w:rFonts w:ascii="仿宋_GB2312"/>
        </w:rPr>
        <w:t>.</w:t>
      </w:r>
      <w:r>
        <w:rPr>
          <w:rFonts w:hint="eastAsia" w:ascii="仿宋_GB2312"/>
        </w:rPr>
        <w:t>现代海洋渔业技术。开展种质资源研发、新品种选育、陆基设施化、深远海渔业设施装备、海上养殖设施升级改造、淡水与海水健康养殖、水生动物疫病防控、水产养殖尾水处理与综合利用、水产养殖废弃物无害化处理、捕捞与新资源开发、精深加工、渔业环境保护等技术、产品和装备研发。</w:t>
      </w:r>
    </w:p>
    <w:p w14:paraId="74872A2A">
      <w:pPr>
        <w:spacing w:line="400" w:lineRule="exact"/>
        <w:ind w:firstLine="640" w:firstLineChars="200"/>
        <w:rPr>
          <w:rFonts w:hint="eastAsia" w:ascii="仿宋_GB2312"/>
        </w:rPr>
      </w:pPr>
      <w:r>
        <w:rPr>
          <w:rFonts w:hint="eastAsia" w:ascii="仿宋_GB2312"/>
        </w:rPr>
        <w:t>5</w:t>
      </w:r>
      <w:r>
        <w:rPr>
          <w:rFonts w:ascii="仿宋_GB2312"/>
        </w:rPr>
        <w:t>.</w:t>
      </w:r>
      <w:r>
        <w:rPr>
          <w:rFonts w:hint="eastAsia" w:ascii="仿宋_GB2312"/>
        </w:rPr>
        <w:t>林业资源培育利用技术。加强速生用材林、珍贵用材林、经济林、花卉、竹林、林下经济等资源的高效培育与绿色增值加工等关键技术研究，开展林业全产业链增值增效技术集成与示范，形成产业集群发展新模式。</w:t>
      </w:r>
    </w:p>
    <w:p w14:paraId="604C33CE">
      <w:pPr>
        <w:spacing w:line="400" w:lineRule="exact"/>
        <w:ind w:firstLine="640" w:firstLineChars="200"/>
        <w:rPr>
          <w:rFonts w:hint="eastAsia" w:ascii="仿宋_GB2312"/>
        </w:rPr>
      </w:pPr>
      <w:r>
        <w:rPr>
          <w:rFonts w:hint="eastAsia" w:ascii="仿宋_GB2312"/>
        </w:rPr>
        <w:t>6</w:t>
      </w:r>
      <w:r>
        <w:rPr>
          <w:rFonts w:ascii="仿宋_GB2312"/>
        </w:rPr>
        <w:t>.</w:t>
      </w:r>
      <w:r>
        <w:rPr>
          <w:rFonts w:hint="eastAsia" w:ascii="仿宋_GB2312"/>
        </w:rPr>
        <w:t>监测预警技术、暴发成灾规律及防控关键技术研究，开展重大疫病鉴别诊断技术研究，研制快速检测试剂盒、检测仪器、安全高效疫苗、抗病生物制品和安全高效药物。</w:t>
      </w:r>
    </w:p>
    <w:p w14:paraId="0CC3427D">
      <w:pPr>
        <w:spacing w:line="400" w:lineRule="exact"/>
        <w:ind w:firstLine="640" w:firstLineChars="200"/>
        <w:rPr>
          <w:rFonts w:hint="eastAsia" w:ascii="仿宋_GB2312"/>
        </w:rPr>
      </w:pPr>
      <w:r>
        <w:rPr>
          <w:rFonts w:hint="eastAsia" w:ascii="仿宋_GB2312"/>
        </w:rPr>
        <w:t>7</w:t>
      </w:r>
      <w:r>
        <w:rPr>
          <w:rFonts w:ascii="仿宋_GB2312"/>
        </w:rPr>
        <w:t>.</w:t>
      </w:r>
      <w:r>
        <w:rPr>
          <w:rFonts w:hint="eastAsia" w:ascii="仿宋_GB2312"/>
        </w:rPr>
        <w:t>农产品精深加工技术。加快高效分离、质构重组、物性修饰、生物制造、节能干燥、新型杀菌等工程化技术和装备研发与应用；开展物流过程中产品品质保持、损耗控制、货架期延长等共性技术研究，突破环境因子精准控制、品质劣变智能检测与控制、新型绿色包装等关键技术；突破营养功能组分稳态化保持与靶向递送、营养靶向设计与健康食品精准制造、主食现代化等营养健康高新技术。</w:t>
      </w:r>
    </w:p>
    <w:p w14:paraId="1EE9181F">
      <w:pPr>
        <w:spacing w:line="400" w:lineRule="exact"/>
        <w:ind w:firstLine="640" w:firstLineChars="200"/>
        <w:rPr>
          <w:rFonts w:hint="eastAsia" w:ascii="仿宋_GB2312"/>
        </w:rPr>
      </w:pPr>
      <w:r>
        <w:rPr>
          <w:rFonts w:hint="eastAsia" w:ascii="仿宋_GB2312"/>
        </w:rPr>
        <w:t>8</w:t>
      </w:r>
      <w:r>
        <w:rPr>
          <w:rFonts w:ascii="仿宋_GB2312"/>
        </w:rPr>
        <w:t>.</w:t>
      </w:r>
      <w:r>
        <w:rPr>
          <w:rFonts w:hint="eastAsia" w:ascii="仿宋_GB2312"/>
        </w:rPr>
        <w:t>农业生物资源开发技术。以我省特色生物资源为材料，利用现代生物技术手段，开发功能食品和药用原材料，研发生物农（兽）药、生物肥（饲）料及添加剂、疫苗及佐剂、新型安全高效除草剂、生物调节剂等农业生物制品，开发生物炭、新型农用膜材料等生物材料以及生物质能源。</w:t>
      </w:r>
    </w:p>
    <w:p w14:paraId="1522ED1D">
      <w:pPr>
        <w:spacing w:line="400" w:lineRule="exact"/>
        <w:ind w:firstLine="640" w:firstLineChars="200"/>
        <w:rPr>
          <w:rFonts w:hint="eastAsia" w:ascii="仿宋_GB2312"/>
        </w:rPr>
      </w:pPr>
      <w:r>
        <w:rPr>
          <w:rFonts w:hint="eastAsia" w:ascii="仿宋_GB2312"/>
        </w:rPr>
        <w:t>9</w:t>
      </w:r>
      <w:r>
        <w:rPr>
          <w:rFonts w:ascii="仿宋_GB2312"/>
        </w:rPr>
        <w:t>.</w:t>
      </w:r>
      <w:r>
        <w:rPr>
          <w:rFonts w:hint="eastAsia" w:ascii="仿宋_GB2312"/>
        </w:rPr>
        <w:t>农业生态安全及产品质量技术。聚焦农产品水土环境、源头生产、过程控制、监管支撑，重点开展监测检测、风险评估、溯源预警、过程控制、监管应急等农产品安全防护关键技术研究，开展农业生态功能评价与绿色生产技术、种养一体化循环和农业废弃物资源化高效利用技术研究，开展农业面源和重金属污染快速检测、综合防治与修复，开展农业碳中和、碳达峰技术研究，促进绿色经济发展。开展外来物种入侵防控基础研究、关键技术研发、集成推广应用。</w:t>
      </w:r>
    </w:p>
    <w:p w14:paraId="1917BAB1">
      <w:pPr>
        <w:spacing w:line="400" w:lineRule="exact"/>
        <w:ind w:firstLine="640" w:firstLineChars="200"/>
        <w:rPr>
          <w:rFonts w:hint="eastAsia" w:ascii="仿宋_GB2312"/>
        </w:rPr>
      </w:pPr>
      <w:r>
        <w:rPr>
          <w:rFonts w:hint="eastAsia" w:ascii="仿宋_GB2312"/>
        </w:rPr>
        <w:t>1</w:t>
      </w:r>
      <w:r>
        <w:rPr>
          <w:rFonts w:ascii="仿宋_GB2312"/>
        </w:rPr>
        <w:t>0.</w:t>
      </w:r>
      <w:r>
        <w:rPr>
          <w:rFonts w:hint="eastAsia" w:ascii="仿宋_GB2312"/>
        </w:rPr>
        <w:t>智慧农业及现代装备技术。全面推进“互联网+现代农业”，集成物联网、大数据、云服务等新一代信息技术在农业、林业、渔业上的应用，持续完善特色农业信息资源数据库建设，强化智慧农业、设施装备、设施农业等关键技术研发攻关，突破一批支撑引领现代农业发展的现代装备。</w:t>
      </w:r>
    </w:p>
    <w:p w14:paraId="0FF20266">
      <w:pPr>
        <w:spacing w:line="400" w:lineRule="exact"/>
        <w:ind w:firstLine="720" w:firstLineChars="225"/>
        <w:rPr>
          <w:rFonts w:hint="eastAsia" w:ascii="楷体" w:hAnsi="楷体" w:eastAsia="楷体"/>
        </w:rPr>
      </w:pPr>
      <w:r>
        <w:rPr>
          <w:rFonts w:hint="eastAsia" w:ascii="楷体" w:hAnsi="楷体" w:eastAsia="楷体"/>
        </w:rPr>
        <w:t>（三）社会发展（申报代码：</w:t>
      </w:r>
      <w:r>
        <w:rPr>
          <w:rFonts w:hint="eastAsia" w:ascii="楷体" w:hAnsi="楷体" w:eastAsia="楷体" w:cs="宋体"/>
          <w:kern w:val="0"/>
        </w:rPr>
        <w:t>202</w:t>
      </w:r>
      <w:r>
        <w:rPr>
          <w:rFonts w:ascii="楷体" w:hAnsi="楷体" w:eastAsia="楷体" w:cs="宋体"/>
          <w:kern w:val="0"/>
        </w:rPr>
        <w:t>5</w:t>
      </w:r>
      <w:r>
        <w:rPr>
          <w:rFonts w:hint="eastAsia" w:ascii="楷体" w:hAnsi="楷体" w:eastAsia="楷体" w:cs="宋体"/>
          <w:kern w:val="0"/>
        </w:rPr>
        <w:t>Y3101</w:t>
      </w:r>
      <w:r>
        <w:rPr>
          <w:rFonts w:hint="eastAsia" w:ascii="楷体" w:hAnsi="楷体" w:eastAsia="楷体" w:cs="宋体"/>
          <w:kern w:val="0"/>
          <w:sz w:val="24"/>
        </w:rPr>
        <w:t>）</w:t>
      </w:r>
    </w:p>
    <w:p w14:paraId="6FEE4D5D">
      <w:pPr>
        <w:spacing w:line="400" w:lineRule="exact"/>
        <w:ind w:firstLine="640" w:firstLineChars="200"/>
        <w:rPr>
          <w:rFonts w:hint="eastAsia" w:ascii="仿宋_GB2312"/>
        </w:rPr>
      </w:pPr>
      <w:r>
        <w:rPr>
          <w:rFonts w:hint="eastAsia" w:ascii="仿宋_GB2312"/>
        </w:rPr>
        <w:t>1.人口健康领域</w:t>
      </w:r>
    </w:p>
    <w:p w14:paraId="3B4CF521">
      <w:pPr>
        <w:spacing w:line="400" w:lineRule="exact"/>
        <w:ind w:firstLine="640" w:firstLineChars="200"/>
        <w:rPr>
          <w:rFonts w:hint="eastAsia" w:ascii="仿宋_GB2312"/>
        </w:rPr>
      </w:pPr>
      <w:r>
        <w:rPr>
          <w:rFonts w:hint="eastAsia" w:ascii="仿宋_GB2312"/>
        </w:rPr>
        <w:t>（1）重大疾病防治领域</w:t>
      </w:r>
    </w:p>
    <w:p w14:paraId="3FF041B0">
      <w:pPr>
        <w:spacing w:line="400" w:lineRule="exact"/>
        <w:ind w:firstLine="640" w:firstLineChars="200"/>
        <w:rPr>
          <w:rFonts w:hint="eastAsia" w:ascii="仿宋_GB2312"/>
        </w:rPr>
      </w:pPr>
      <w:r>
        <w:rPr>
          <w:rFonts w:hint="eastAsia" w:ascii="仿宋_GB2312"/>
        </w:rPr>
        <w:t>开展重大疾病防治、优生优育、健康养老、精准医学与个性化医疗技术应用、公共卫生安全防控和数字医疗、医工交叉等技术研究。</w:t>
      </w:r>
    </w:p>
    <w:p w14:paraId="234F8F20">
      <w:pPr>
        <w:spacing w:line="400" w:lineRule="exact"/>
        <w:ind w:firstLine="640" w:firstLineChars="200"/>
        <w:rPr>
          <w:rFonts w:hint="eastAsia" w:ascii="仿宋_GB2312"/>
        </w:rPr>
      </w:pPr>
      <w:r>
        <w:rPr>
          <w:rFonts w:hint="eastAsia" w:ascii="仿宋_GB2312"/>
        </w:rPr>
        <w:t>（2）生物医药领域</w:t>
      </w:r>
    </w:p>
    <w:p w14:paraId="7512A3C9">
      <w:pPr>
        <w:spacing w:line="400" w:lineRule="exact"/>
        <w:ind w:firstLine="640" w:firstLineChars="200"/>
        <w:rPr>
          <w:rFonts w:ascii="仿宋_GB2312"/>
        </w:rPr>
      </w:pPr>
      <w:r>
        <w:rPr>
          <w:rFonts w:hint="eastAsia" w:ascii="仿宋_GB2312"/>
        </w:rPr>
        <w:t>开展创新药物（含化学药、中药和生物药）临床前研究；原料药和医药中间体研发和产业化应用；人工智能、云计算、大数据等技术在创新药物发现、药物设计、临床试验等研究领域应用研究；干细胞与基因治疗技术研究；中药材及复方药效物质基础和药理机制研究，中药经典名方二次开发等技术研究。开展高端医疗器械、高性能数字化医学诊疗设备、新型医用材料及关键制药装备、康复关键技术和设备研发；体外诊断试剂及设备；抗菌、抗病毒、抗肿瘤、生育力保护等海洋创新药物研发等技术研究。</w:t>
      </w:r>
    </w:p>
    <w:p w14:paraId="058F6B79">
      <w:pPr>
        <w:spacing w:line="400" w:lineRule="exact"/>
        <w:ind w:firstLine="640" w:firstLineChars="200"/>
        <w:rPr>
          <w:rFonts w:hint="eastAsia" w:ascii="仿宋_GB2312"/>
        </w:rPr>
      </w:pPr>
      <w:r>
        <w:rPr>
          <w:rFonts w:hint="eastAsia" w:ascii="仿宋_GB2312"/>
        </w:rPr>
        <w:t>2.资源与环境领域</w:t>
      </w:r>
    </w:p>
    <w:p w14:paraId="5D1BBF9A">
      <w:pPr>
        <w:spacing w:line="400" w:lineRule="exact"/>
        <w:ind w:firstLine="640" w:firstLineChars="200"/>
        <w:rPr>
          <w:rFonts w:hint="eastAsia" w:ascii="仿宋_GB2312"/>
        </w:rPr>
      </w:pPr>
      <w:r>
        <w:rPr>
          <w:rFonts w:hint="eastAsia" w:ascii="仿宋_GB2312"/>
        </w:rPr>
        <w:t>开展战略性矿产资源勘查理论和技术攻关；开展土地资源节约低碳利用模式研究；开展废气、废水、固体废弃物处理及循环利用技术；大气、水体、土壤、固体废弃物污染防治（含环境智能监测及污染源分析等）、饮用水源环境保护等领域关键技术，海洋污染防治与生态修复技术、河口水质治理与微生物废水处理技术、污泥与生活垃圾综合处理新技术、近岸海域海漂垃圾综合整治等技术研究。</w:t>
      </w:r>
    </w:p>
    <w:p w14:paraId="398D8081">
      <w:pPr>
        <w:spacing w:line="400" w:lineRule="exact"/>
        <w:ind w:firstLine="640" w:firstLineChars="200"/>
        <w:rPr>
          <w:rFonts w:hint="eastAsia" w:ascii="仿宋_GB2312"/>
        </w:rPr>
      </w:pPr>
      <w:r>
        <w:rPr>
          <w:rFonts w:hint="eastAsia" w:ascii="仿宋_GB2312"/>
        </w:rPr>
        <w:t xml:space="preserve"> 3.公共安全技术领域</w:t>
      </w:r>
    </w:p>
    <w:p w14:paraId="399CB8D0">
      <w:pPr>
        <w:spacing w:line="400" w:lineRule="exact"/>
        <w:ind w:firstLine="640" w:firstLineChars="200"/>
        <w:rPr>
          <w:rFonts w:hint="eastAsia" w:ascii="仿宋_GB2312"/>
        </w:rPr>
      </w:pPr>
      <w:r>
        <w:rPr>
          <w:rFonts w:hint="eastAsia" w:ascii="仿宋_GB2312"/>
        </w:rPr>
        <w:t>开展食品安全、防灾减灾、安全生产、社会安全治理等科技创新支撑平安福建建设相关研究，重点支持矿山、地质灾害等各行业领域生产安全风险智能防控、气象等多灾害预警预报与应急处置、食品安全智能化快速检测与风险评估、核生化处置等智能化技术装备研发与应用研究、海洋灾害预警预报研究与应用、海上安全应急保障技术和装备研发。</w:t>
      </w:r>
    </w:p>
    <w:p w14:paraId="3C1801D0">
      <w:pPr>
        <w:spacing w:line="400" w:lineRule="exact"/>
        <w:ind w:firstLine="640" w:firstLineChars="200"/>
        <w:rPr>
          <w:rFonts w:hint="eastAsia" w:ascii="黑体" w:hAnsi="黑体" w:eastAsia="黑体" w:cs="宋体"/>
          <w:color w:val="000000"/>
          <w:kern w:val="0"/>
        </w:rPr>
      </w:pPr>
      <w:r>
        <w:rPr>
          <w:rFonts w:hint="eastAsia" w:ascii="黑体" w:hAnsi="黑体" w:eastAsia="黑体" w:cs="宋体"/>
          <w:color w:val="000000"/>
          <w:kern w:val="0"/>
        </w:rPr>
        <w:t>三、申报条件和要求</w:t>
      </w:r>
    </w:p>
    <w:p w14:paraId="549A6E52">
      <w:pPr>
        <w:spacing w:line="400" w:lineRule="exact"/>
        <w:ind w:firstLine="640" w:firstLineChars="200"/>
        <w:rPr>
          <w:rFonts w:ascii="仿宋_GB2312" w:hAnsi="仿宋_GB2312" w:cs="仿宋_GB2312"/>
          <w:szCs w:val="32"/>
        </w:rPr>
      </w:pPr>
      <w:r>
        <w:rPr>
          <w:rFonts w:hint="eastAsia" w:ascii="仿宋_GB2312"/>
        </w:rPr>
        <w:t>（一）</w:t>
      </w:r>
      <w:r>
        <w:rPr>
          <w:rFonts w:hint="eastAsia" w:ascii="仿宋_GB2312"/>
          <w:b/>
          <w:bCs/>
        </w:rPr>
        <w:t>申报工业领域</w:t>
      </w:r>
      <w:r>
        <w:rPr>
          <w:rFonts w:hint="eastAsia" w:ascii="仿宋_GB2312"/>
        </w:rPr>
        <w:t>项目的第一承担单位必须是在推荐区域内注册、具有独立法人资格并具备科研开发能力和条件的规模以上企业（软件等行业企业规模参照工业企业）。</w:t>
      </w:r>
      <w:r>
        <w:rPr>
          <w:rFonts w:hint="eastAsia" w:ascii="仿宋_GB2312" w:hAnsi="仿宋_GB2312" w:cs="仿宋_GB2312"/>
          <w:szCs w:val="32"/>
        </w:rPr>
        <w:t>各地市请严格按照上报省科技厅的《县域重点产业创新链调研报告》中县（市区）梳理的重点产业链方向组织推荐项目，若推荐的项目不属于上报梳理的重点产业链方向的，不予立项。</w:t>
      </w:r>
    </w:p>
    <w:p w14:paraId="6AA9F5F5">
      <w:pPr>
        <w:spacing w:line="400" w:lineRule="exact"/>
        <w:ind w:firstLine="643" w:firstLineChars="200"/>
        <w:rPr>
          <w:rFonts w:ascii="仿宋_GB2312"/>
        </w:rPr>
      </w:pPr>
      <w:r>
        <w:rPr>
          <w:rFonts w:hint="eastAsia" w:ascii="仿宋_GB2312"/>
          <w:b/>
          <w:bCs/>
        </w:rPr>
        <w:t>申报农业领域</w:t>
      </w:r>
      <w:r>
        <w:rPr>
          <w:rFonts w:hint="eastAsia" w:ascii="仿宋_GB2312"/>
        </w:rPr>
        <w:t>项目的第一承担单位必须是省级以上农业产业化龙头企业或规模以上企业。</w:t>
      </w:r>
    </w:p>
    <w:p w14:paraId="74BADD0A">
      <w:pPr>
        <w:spacing w:line="400" w:lineRule="exact"/>
        <w:ind w:firstLine="643" w:firstLineChars="200"/>
        <w:rPr>
          <w:rFonts w:ascii="仿宋_GB2312"/>
        </w:rPr>
      </w:pPr>
      <w:r>
        <w:rPr>
          <w:rFonts w:hint="eastAsia" w:ascii="仿宋_GB2312"/>
          <w:b/>
          <w:bCs/>
        </w:rPr>
        <w:t>申报社会发展领域</w:t>
      </w:r>
      <w:r>
        <w:rPr>
          <w:rFonts w:hint="eastAsia" w:ascii="仿宋_GB2312"/>
        </w:rPr>
        <w:t>项目的第一承担单位应是符合上述要求的企业，或是在推荐区域内注册、具有独立法人资格并具备科研开发能力和条件的市属医疗卫生单位。</w:t>
      </w:r>
    </w:p>
    <w:p w14:paraId="6371D508">
      <w:pPr>
        <w:spacing w:line="400" w:lineRule="exact"/>
        <w:ind w:firstLine="640" w:firstLineChars="200"/>
        <w:rPr>
          <w:rFonts w:hint="eastAsia" w:ascii="仿宋_GB2312"/>
        </w:rPr>
      </w:pPr>
      <w:r>
        <w:rPr>
          <w:rFonts w:hint="eastAsia" w:ascii="仿宋_GB2312"/>
        </w:rPr>
        <w:t>鼓励科技型企业牵头申报，高校、科研院所作为项目合作和技术支撑单位与企业联合申报。</w:t>
      </w:r>
    </w:p>
    <w:p w14:paraId="461C5EAA">
      <w:pPr>
        <w:spacing w:line="400" w:lineRule="exact"/>
        <w:ind w:firstLine="640" w:firstLineChars="200"/>
        <w:rPr>
          <w:rFonts w:hint="eastAsia" w:ascii="仿宋_GB2312"/>
        </w:rPr>
      </w:pPr>
      <w:r>
        <w:rPr>
          <w:rFonts w:hint="eastAsia" w:ascii="仿宋_GB2312"/>
        </w:rPr>
        <w:t>（二）申报单位为企业的，项目负责人可由企业的法定代表人担任，也可由企业实际主持该项科研工作的科技人员作为项目负责人。项目负责人同期主持和申请的省科技计划项目数不超过1项（含省科技重大专项的专题项目，原科技重大项目/重点项目、区域发展项目、高校产学合作项目、对外合作项目、星火项目、引导性项目、软科学项目、创新战略研究项目、科技型中小企业技术创新资金项目、自然科学基金项目、STS项目以及中央引导地方项目）。为鼓励产学研合作共同研发，高校、科研院所的科技人员可作为项目技术负责人。</w:t>
      </w:r>
    </w:p>
    <w:p w14:paraId="228012B4">
      <w:pPr>
        <w:spacing w:line="400" w:lineRule="exact"/>
        <w:ind w:firstLine="640" w:firstLineChars="200"/>
        <w:rPr>
          <w:rFonts w:hint="eastAsia" w:ascii="仿宋_GB2312"/>
        </w:rPr>
      </w:pPr>
      <w:r>
        <w:rPr>
          <w:rFonts w:hint="eastAsia" w:ascii="仿宋_GB2312"/>
        </w:rPr>
        <w:t>（三）申报企业应具有较强的研发实力，2024年度研发费用占主营业务收入的比例应达2.5%以上。国家高新技术企业的仅需提供有效期内的高新技术企业证书；不属于国家高新技术企业的，要提供能体现研发经费投入比例的企业研发经费投入结构明细表（格式下载网址：</w:t>
      </w:r>
      <w:r>
        <w:rPr>
          <w:rFonts w:ascii="仿宋_GB2312"/>
        </w:rPr>
        <w:t>http://xmgl.kjt.fujian.gov.cn/</w:t>
      </w:r>
      <w:r>
        <w:rPr>
          <w:rFonts w:hint="eastAsia" w:ascii="仿宋_GB2312"/>
        </w:rPr>
        <w:t>）。</w:t>
      </w:r>
    </w:p>
    <w:p w14:paraId="54A47801">
      <w:pPr>
        <w:spacing w:line="400" w:lineRule="exact"/>
        <w:ind w:firstLine="640" w:firstLineChars="200"/>
        <w:rPr>
          <w:rFonts w:hint="eastAsia" w:ascii="仿宋_GB2312"/>
        </w:rPr>
      </w:pPr>
      <w:r>
        <w:rPr>
          <w:rFonts w:hint="eastAsia" w:ascii="仿宋_GB2312"/>
        </w:rPr>
        <w:t>（四）申请资助经费预算应科学合理，单个项目申请省级科技经费资助额度不超过100万元。若项目立项后，申报单位应先行投入。</w:t>
      </w:r>
    </w:p>
    <w:p w14:paraId="5CDED0E1">
      <w:pPr>
        <w:spacing w:line="400" w:lineRule="exact"/>
        <w:ind w:firstLine="640" w:firstLineChars="200"/>
        <w:rPr>
          <w:rFonts w:hint="eastAsia" w:ascii="仿宋_GB2312"/>
        </w:rPr>
      </w:pPr>
      <w:r>
        <w:rPr>
          <w:rFonts w:hint="eastAsia" w:ascii="仿宋_GB2312"/>
        </w:rPr>
        <w:t>（五）申报项目研发起始时间为202</w:t>
      </w:r>
      <w:r>
        <w:rPr>
          <w:rFonts w:ascii="仿宋_GB2312"/>
        </w:rPr>
        <w:t>5</w:t>
      </w:r>
      <w:r>
        <w:rPr>
          <w:rFonts w:hint="eastAsia" w:ascii="仿宋_GB2312"/>
        </w:rPr>
        <w:t>年</w:t>
      </w:r>
      <w:r>
        <w:rPr>
          <w:rFonts w:ascii="仿宋_GB2312"/>
        </w:rPr>
        <w:t>5</w:t>
      </w:r>
      <w:r>
        <w:rPr>
          <w:rFonts w:hint="eastAsia" w:ascii="仿宋_GB2312"/>
        </w:rPr>
        <w:t>月1日，结束时间一般不超过至202</w:t>
      </w:r>
      <w:r>
        <w:rPr>
          <w:rFonts w:ascii="仿宋_GB2312"/>
        </w:rPr>
        <w:t>8</w:t>
      </w:r>
      <w:r>
        <w:rPr>
          <w:rFonts w:hint="eastAsia" w:ascii="仿宋_GB2312"/>
        </w:rPr>
        <w:t>年</w:t>
      </w:r>
      <w:r>
        <w:rPr>
          <w:rFonts w:ascii="仿宋_GB2312"/>
        </w:rPr>
        <w:t>4</w:t>
      </w:r>
      <w:r>
        <w:rPr>
          <w:rFonts w:hint="eastAsia" w:ascii="仿宋_GB2312"/>
        </w:rPr>
        <w:t>月</w:t>
      </w:r>
      <w:r>
        <w:rPr>
          <w:rFonts w:ascii="仿宋_GB2312"/>
        </w:rPr>
        <w:t>30</w:t>
      </w:r>
      <w:r>
        <w:rPr>
          <w:rFonts w:hint="eastAsia" w:ascii="仿宋_GB2312"/>
        </w:rPr>
        <w:t>日。</w:t>
      </w:r>
    </w:p>
    <w:p w14:paraId="1439EE43">
      <w:pPr>
        <w:spacing w:line="400" w:lineRule="exact"/>
        <w:ind w:firstLine="640" w:firstLineChars="200"/>
        <w:rPr>
          <w:rFonts w:hint="eastAsia" w:ascii="仿宋_GB2312"/>
        </w:rPr>
      </w:pPr>
      <w:r>
        <w:rPr>
          <w:rFonts w:hint="eastAsia" w:ascii="仿宋_GB2312"/>
        </w:rPr>
        <w:t>（六）申请书相关附件：可行性研究报告（封面应加盖申报单位章并扫描上传，格式下载网址：</w:t>
      </w:r>
      <w:r>
        <w:rPr>
          <w:rFonts w:ascii="仿宋_GB2312"/>
        </w:rPr>
        <w:fldChar w:fldCharType="begin"/>
      </w:r>
      <w:r>
        <w:rPr>
          <w:rFonts w:ascii="仿宋_GB2312"/>
        </w:rPr>
        <w:instrText xml:space="preserve"> HYPERLINK "http://xmgl.kjt.f</w:instrText>
      </w:r>
      <w:r>
        <w:rPr>
          <w:rFonts w:hint="eastAsia" w:ascii="仿宋_GB2312"/>
        </w:rPr>
        <w:instrText xml:space="preserve">ujian.</w:instrText>
      </w:r>
      <w:r>
        <w:rPr>
          <w:rFonts w:ascii="仿宋_GB2312"/>
        </w:rPr>
        <w:instrText xml:space="preserve">gov.cn/</w:instrText>
      </w:r>
      <w:r>
        <w:rPr>
          <w:rFonts w:hint="eastAsia" w:ascii="仿宋_GB2312"/>
        </w:rPr>
        <w:instrText xml:space="preserve">）、合作协议书、高新技术企业证书、2</w:instrText>
      </w:r>
      <w:r>
        <w:rPr>
          <w:rFonts w:ascii="仿宋_GB2312"/>
        </w:rPr>
        <w:instrText xml:space="preserve">024" </w:instrText>
      </w:r>
      <w:r>
        <w:rPr>
          <w:rFonts w:ascii="仿宋_GB2312"/>
        </w:rPr>
        <w:fldChar w:fldCharType="separate"/>
      </w:r>
      <w:r>
        <w:t>http://xmgl.kjt.f</w:t>
      </w:r>
      <w:r>
        <w:rPr>
          <w:rFonts w:hint="eastAsia"/>
        </w:rPr>
        <w:t>ujian.</w:t>
      </w:r>
      <w:r>
        <w:t>gov.cn/</w:t>
      </w:r>
      <w:r>
        <w:rPr>
          <w:rFonts w:hint="eastAsia"/>
        </w:rPr>
        <w:t>）、合作协议书、高新技术企业证书、2</w:t>
      </w:r>
      <w:r>
        <w:t>024</w:t>
      </w:r>
      <w:r>
        <w:rPr>
          <w:rFonts w:ascii="仿宋_GB2312"/>
        </w:rPr>
        <w:fldChar w:fldCharType="end"/>
      </w:r>
      <w:r>
        <w:rPr>
          <w:rFonts w:hint="eastAsia" w:ascii="仿宋_GB2312"/>
        </w:rPr>
        <w:t>年度企业研发经费投入结构明细表（加盖企业单位章或财务章）、体现主营业务收入的企业2024年度利润表（加盖企业单位章或财务章）、省级以上农业产业化龙头企业证书等。</w:t>
      </w:r>
    </w:p>
    <w:p w14:paraId="4FB09112">
      <w:pPr>
        <w:spacing w:line="400" w:lineRule="exact"/>
        <w:ind w:firstLine="640" w:firstLineChars="200"/>
        <w:rPr>
          <w:rFonts w:hint="eastAsia" w:ascii="黑体" w:hAnsi="黑体" w:eastAsia="黑体" w:cs="宋体"/>
          <w:color w:val="000000"/>
          <w:kern w:val="0"/>
        </w:rPr>
      </w:pPr>
      <w:r>
        <w:rPr>
          <w:rFonts w:hint="eastAsia" w:ascii="黑体" w:hAnsi="黑体" w:eastAsia="黑体" w:cs="宋体"/>
          <w:color w:val="000000"/>
          <w:kern w:val="0"/>
        </w:rPr>
        <w:t>四、申报推荐数</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800"/>
        <w:gridCol w:w="1440"/>
        <w:gridCol w:w="5040"/>
      </w:tblGrid>
      <w:tr w14:paraId="2E49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noWrap w:val="0"/>
            <w:vAlign w:val="top"/>
          </w:tcPr>
          <w:p w14:paraId="3D1BE2DE">
            <w:pPr>
              <w:spacing w:line="400" w:lineRule="exact"/>
              <w:jc w:val="center"/>
              <w:rPr>
                <w:rFonts w:hint="eastAsia" w:ascii="仿宋_GB2312"/>
                <w:sz w:val="24"/>
              </w:rPr>
            </w:pPr>
            <w:r>
              <w:rPr>
                <w:rFonts w:hint="eastAsia" w:ascii="仿宋_GB2312"/>
                <w:sz w:val="24"/>
              </w:rPr>
              <w:t>序号</w:t>
            </w:r>
          </w:p>
        </w:tc>
        <w:tc>
          <w:tcPr>
            <w:tcW w:w="1800" w:type="dxa"/>
            <w:noWrap w:val="0"/>
            <w:vAlign w:val="top"/>
          </w:tcPr>
          <w:p w14:paraId="3321930F">
            <w:pPr>
              <w:spacing w:line="400" w:lineRule="exact"/>
              <w:jc w:val="center"/>
              <w:rPr>
                <w:rFonts w:hint="eastAsia" w:ascii="仿宋_GB2312"/>
                <w:sz w:val="24"/>
              </w:rPr>
            </w:pPr>
            <w:r>
              <w:rPr>
                <w:rFonts w:hint="eastAsia" w:ascii="仿宋_GB2312"/>
                <w:sz w:val="24"/>
              </w:rPr>
              <w:t>推荐单位</w:t>
            </w:r>
          </w:p>
        </w:tc>
        <w:tc>
          <w:tcPr>
            <w:tcW w:w="1440" w:type="dxa"/>
            <w:noWrap w:val="0"/>
            <w:vAlign w:val="top"/>
          </w:tcPr>
          <w:p w14:paraId="48515F66">
            <w:pPr>
              <w:spacing w:line="400" w:lineRule="exact"/>
              <w:jc w:val="center"/>
              <w:rPr>
                <w:rFonts w:hint="eastAsia" w:ascii="仿宋_GB2312"/>
                <w:sz w:val="24"/>
              </w:rPr>
            </w:pPr>
            <w:r>
              <w:rPr>
                <w:rFonts w:hint="eastAsia" w:ascii="仿宋_GB2312"/>
                <w:sz w:val="24"/>
              </w:rPr>
              <w:t>推荐申报数</w:t>
            </w:r>
          </w:p>
        </w:tc>
        <w:tc>
          <w:tcPr>
            <w:tcW w:w="5040" w:type="dxa"/>
            <w:noWrap w:val="0"/>
            <w:vAlign w:val="top"/>
          </w:tcPr>
          <w:p w14:paraId="4950C275">
            <w:pPr>
              <w:spacing w:line="400" w:lineRule="exact"/>
              <w:jc w:val="center"/>
              <w:rPr>
                <w:rFonts w:hint="eastAsia" w:ascii="仿宋_GB2312"/>
                <w:sz w:val="24"/>
              </w:rPr>
            </w:pPr>
            <w:r>
              <w:rPr>
                <w:rFonts w:hint="eastAsia" w:ascii="仿宋_GB2312"/>
                <w:sz w:val="24"/>
              </w:rPr>
              <w:t>备注</w:t>
            </w:r>
          </w:p>
        </w:tc>
      </w:tr>
      <w:tr w14:paraId="425B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noWrap w:val="0"/>
            <w:vAlign w:val="top"/>
          </w:tcPr>
          <w:p w14:paraId="42FC3954">
            <w:pPr>
              <w:spacing w:line="400" w:lineRule="exact"/>
              <w:jc w:val="center"/>
              <w:rPr>
                <w:rFonts w:hint="eastAsia" w:ascii="仿宋_GB2312"/>
                <w:sz w:val="24"/>
              </w:rPr>
            </w:pPr>
            <w:r>
              <w:rPr>
                <w:rFonts w:hint="eastAsia" w:ascii="仿宋_GB2312"/>
                <w:sz w:val="24"/>
              </w:rPr>
              <w:t>1</w:t>
            </w:r>
          </w:p>
        </w:tc>
        <w:tc>
          <w:tcPr>
            <w:tcW w:w="1800" w:type="dxa"/>
            <w:noWrap w:val="0"/>
            <w:vAlign w:val="top"/>
          </w:tcPr>
          <w:p w14:paraId="6DC0E8BF">
            <w:pPr>
              <w:spacing w:line="400" w:lineRule="exact"/>
              <w:rPr>
                <w:rFonts w:hint="eastAsia" w:ascii="仿宋_GB2312"/>
                <w:sz w:val="24"/>
              </w:rPr>
            </w:pPr>
            <w:r>
              <w:rPr>
                <w:rFonts w:hint="eastAsia" w:ascii="仿宋_GB2312"/>
                <w:sz w:val="24"/>
              </w:rPr>
              <w:t>福州市科技局</w:t>
            </w:r>
          </w:p>
        </w:tc>
        <w:tc>
          <w:tcPr>
            <w:tcW w:w="1440" w:type="dxa"/>
            <w:noWrap w:val="0"/>
            <w:vAlign w:val="top"/>
          </w:tcPr>
          <w:p w14:paraId="1636E1A8">
            <w:pPr>
              <w:spacing w:line="400" w:lineRule="exact"/>
              <w:rPr>
                <w:rFonts w:hint="eastAsia" w:ascii="仿宋_GB2312"/>
                <w:sz w:val="24"/>
              </w:rPr>
            </w:pPr>
            <w:r>
              <w:rPr>
                <w:rFonts w:hint="eastAsia" w:ascii="仿宋_GB2312"/>
                <w:sz w:val="24"/>
              </w:rPr>
              <w:t>13</w:t>
            </w:r>
          </w:p>
        </w:tc>
        <w:tc>
          <w:tcPr>
            <w:tcW w:w="5040" w:type="dxa"/>
            <w:noWrap w:val="0"/>
            <w:vAlign w:val="top"/>
          </w:tcPr>
          <w:p w14:paraId="7D0DD564">
            <w:pPr>
              <w:spacing w:line="400" w:lineRule="exact"/>
              <w:rPr>
                <w:rFonts w:hint="eastAsia" w:ascii="仿宋_GB2312"/>
                <w:sz w:val="24"/>
              </w:rPr>
            </w:pPr>
            <w:r>
              <w:rPr>
                <w:rFonts w:hint="eastAsia" w:ascii="仿宋_GB2312"/>
                <w:sz w:val="24"/>
              </w:rPr>
              <w:t>其中，福州国家高新区企业申报的不少于1项，福州新区企业牵头平潭综合实验区企事业单位合作申报的不少于2项</w:t>
            </w:r>
          </w:p>
        </w:tc>
      </w:tr>
      <w:tr w14:paraId="7F65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noWrap w:val="0"/>
            <w:vAlign w:val="top"/>
          </w:tcPr>
          <w:p w14:paraId="149F9623">
            <w:pPr>
              <w:spacing w:line="400" w:lineRule="exact"/>
              <w:jc w:val="center"/>
              <w:rPr>
                <w:rFonts w:hint="eastAsia" w:ascii="仿宋_GB2312"/>
                <w:sz w:val="24"/>
              </w:rPr>
            </w:pPr>
            <w:r>
              <w:rPr>
                <w:rFonts w:hint="eastAsia" w:ascii="仿宋_GB2312"/>
                <w:sz w:val="24"/>
              </w:rPr>
              <w:t>2</w:t>
            </w:r>
          </w:p>
        </w:tc>
        <w:tc>
          <w:tcPr>
            <w:tcW w:w="1800" w:type="dxa"/>
            <w:noWrap w:val="0"/>
            <w:vAlign w:val="top"/>
          </w:tcPr>
          <w:p w14:paraId="2330CB15">
            <w:pPr>
              <w:spacing w:line="400" w:lineRule="exact"/>
              <w:rPr>
                <w:rFonts w:hint="eastAsia" w:ascii="仿宋_GB2312"/>
                <w:sz w:val="24"/>
              </w:rPr>
            </w:pPr>
            <w:r>
              <w:rPr>
                <w:rFonts w:hint="eastAsia" w:ascii="仿宋_GB2312"/>
                <w:sz w:val="24"/>
              </w:rPr>
              <w:t>莆田市科技局</w:t>
            </w:r>
          </w:p>
        </w:tc>
        <w:tc>
          <w:tcPr>
            <w:tcW w:w="1440" w:type="dxa"/>
            <w:noWrap w:val="0"/>
            <w:vAlign w:val="top"/>
          </w:tcPr>
          <w:p w14:paraId="5E2EED3B">
            <w:pPr>
              <w:spacing w:line="400" w:lineRule="exact"/>
              <w:rPr>
                <w:rFonts w:hint="eastAsia" w:ascii="仿宋_GB2312"/>
                <w:sz w:val="24"/>
              </w:rPr>
            </w:pPr>
            <w:r>
              <w:rPr>
                <w:rFonts w:hint="eastAsia" w:ascii="仿宋_GB2312"/>
                <w:sz w:val="24"/>
              </w:rPr>
              <w:t>11</w:t>
            </w:r>
          </w:p>
        </w:tc>
        <w:tc>
          <w:tcPr>
            <w:tcW w:w="5040" w:type="dxa"/>
            <w:noWrap w:val="0"/>
            <w:vAlign w:val="top"/>
          </w:tcPr>
          <w:p w14:paraId="5734CEC5">
            <w:pPr>
              <w:spacing w:line="400" w:lineRule="exact"/>
              <w:rPr>
                <w:rFonts w:hint="eastAsia" w:ascii="仿宋_GB2312"/>
                <w:sz w:val="24"/>
              </w:rPr>
            </w:pPr>
            <w:r>
              <w:rPr>
                <w:rFonts w:hint="eastAsia" w:ascii="仿宋_GB2312"/>
                <w:sz w:val="24"/>
              </w:rPr>
              <w:t>其中，莆田国家高新区企业申报的不少于1项</w:t>
            </w:r>
          </w:p>
        </w:tc>
      </w:tr>
      <w:tr w14:paraId="0E65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noWrap w:val="0"/>
            <w:vAlign w:val="top"/>
          </w:tcPr>
          <w:p w14:paraId="0AF41FE9">
            <w:pPr>
              <w:spacing w:line="400" w:lineRule="exact"/>
              <w:jc w:val="center"/>
              <w:rPr>
                <w:rFonts w:hint="eastAsia" w:ascii="仿宋_GB2312"/>
                <w:sz w:val="24"/>
              </w:rPr>
            </w:pPr>
            <w:r>
              <w:rPr>
                <w:rFonts w:hint="eastAsia" w:ascii="仿宋_GB2312"/>
                <w:sz w:val="24"/>
              </w:rPr>
              <w:t>3</w:t>
            </w:r>
          </w:p>
        </w:tc>
        <w:tc>
          <w:tcPr>
            <w:tcW w:w="1800" w:type="dxa"/>
            <w:noWrap w:val="0"/>
            <w:vAlign w:val="top"/>
          </w:tcPr>
          <w:p w14:paraId="265A8C40">
            <w:pPr>
              <w:spacing w:line="400" w:lineRule="exact"/>
              <w:rPr>
                <w:rFonts w:hint="eastAsia" w:ascii="仿宋_GB2312"/>
                <w:sz w:val="24"/>
              </w:rPr>
            </w:pPr>
            <w:r>
              <w:rPr>
                <w:rFonts w:hint="eastAsia" w:ascii="仿宋_GB2312"/>
                <w:sz w:val="24"/>
              </w:rPr>
              <w:t>泉州市科技局</w:t>
            </w:r>
          </w:p>
        </w:tc>
        <w:tc>
          <w:tcPr>
            <w:tcW w:w="1440" w:type="dxa"/>
            <w:noWrap w:val="0"/>
            <w:vAlign w:val="top"/>
          </w:tcPr>
          <w:p w14:paraId="194D3418">
            <w:pPr>
              <w:spacing w:line="400" w:lineRule="exact"/>
              <w:rPr>
                <w:rFonts w:hint="eastAsia" w:ascii="仿宋_GB2312"/>
                <w:sz w:val="24"/>
              </w:rPr>
            </w:pPr>
            <w:r>
              <w:rPr>
                <w:rFonts w:hint="eastAsia" w:ascii="仿宋_GB2312"/>
                <w:sz w:val="24"/>
              </w:rPr>
              <w:t>11</w:t>
            </w:r>
          </w:p>
        </w:tc>
        <w:tc>
          <w:tcPr>
            <w:tcW w:w="5040" w:type="dxa"/>
            <w:noWrap w:val="0"/>
            <w:vAlign w:val="top"/>
          </w:tcPr>
          <w:p w14:paraId="633B53D8">
            <w:pPr>
              <w:spacing w:line="400" w:lineRule="exact"/>
              <w:rPr>
                <w:rFonts w:hint="eastAsia" w:ascii="仿宋_GB2312"/>
                <w:sz w:val="24"/>
              </w:rPr>
            </w:pPr>
            <w:r>
              <w:rPr>
                <w:rFonts w:hint="eastAsia" w:ascii="仿宋_GB2312"/>
                <w:sz w:val="24"/>
              </w:rPr>
              <w:t>其中，泉州国家高新区企业申报的不少于1项</w:t>
            </w:r>
          </w:p>
        </w:tc>
      </w:tr>
      <w:tr w14:paraId="21EFF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noWrap w:val="0"/>
            <w:vAlign w:val="top"/>
          </w:tcPr>
          <w:p w14:paraId="1A205347">
            <w:pPr>
              <w:spacing w:line="400" w:lineRule="exact"/>
              <w:jc w:val="center"/>
              <w:rPr>
                <w:rFonts w:hint="eastAsia" w:ascii="仿宋_GB2312"/>
                <w:sz w:val="24"/>
              </w:rPr>
            </w:pPr>
            <w:r>
              <w:rPr>
                <w:rFonts w:hint="eastAsia" w:ascii="仿宋_GB2312"/>
                <w:sz w:val="24"/>
              </w:rPr>
              <w:t>4</w:t>
            </w:r>
          </w:p>
        </w:tc>
        <w:tc>
          <w:tcPr>
            <w:tcW w:w="1800" w:type="dxa"/>
            <w:noWrap w:val="0"/>
            <w:vAlign w:val="top"/>
          </w:tcPr>
          <w:p w14:paraId="76D99EAC">
            <w:pPr>
              <w:spacing w:line="400" w:lineRule="exact"/>
              <w:rPr>
                <w:rFonts w:hint="eastAsia" w:ascii="仿宋_GB2312"/>
                <w:sz w:val="24"/>
              </w:rPr>
            </w:pPr>
            <w:r>
              <w:rPr>
                <w:rFonts w:hint="eastAsia" w:ascii="仿宋_GB2312"/>
                <w:sz w:val="24"/>
              </w:rPr>
              <w:t>漳州市科技局</w:t>
            </w:r>
          </w:p>
        </w:tc>
        <w:tc>
          <w:tcPr>
            <w:tcW w:w="1440" w:type="dxa"/>
            <w:noWrap w:val="0"/>
            <w:vAlign w:val="top"/>
          </w:tcPr>
          <w:p w14:paraId="242A1882">
            <w:pPr>
              <w:spacing w:line="400" w:lineRule="exact"/>
              <w:rPr>
                <w:rFonts w:hint="eastAsia" w:ascii="仿宋_GB2312"/>
                <w:sz w:val="24"/>
              </w:rPr>
            </w:pPr>
            <w:r>
              <w:rPr>
                <w:rFonts w:hint="eastAsia" w:ascii="仿宋_GB2312"/>
                <w:sz w:val="24"/>
              </w:rPr>
              <w:t>11</w:t>
            </w:r>
          </w:p>
        </w:tc>
        <w:tc>
          <w:tcPr>
            <w:tcW w:w="5040" w:type="dxa"/>
            <w:noWrap w:val="0"/>
            <w:vAlign w:val="top"/>
          </w:tcPr>
          <w:p w14:paraId="71258649">
            <w:pPr>
              <w:spacing w:line="400" w:lineRule="exact"/>
              <w:rPr>
                <w:rFonts w:hint="eastAsia" w:ascii="仿宋_GB2312"/>
                <w:sz w:val="24"/>
              </w:rPr>
            </w:pPr>
            <w:r>
              <w:rPr>
                <w:rFonts w:hint="eastAsia" w:ascii="仿宋_GB2312"/>
                <w:sz w:val="24"/>
              </w:rPr>
              <w:t>其中，漳州国家高新区企业申报的不少于1项</w:t>
            </w:r>
          </w:p>
        </w:tc>
      </w:tr>
      <w:tr w14:paraId="2426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noWrap w:val="0"/>
            <w:vAlign w:val="top"/>
          </w:tcPr>
          <w:p w14:paraId="4E91F6BC">
            <w:pPr>
              <w:spacing w:line="400" w:lineRule="exact"/>
              <w:jc w:val="center"/>
              <w:rPr>
                <w:rFonts w:hint="eastAsia" w:ascii="仿宋_GB2312"/>
                <w:sz w:val="24"/>
              </w:rPr>
            </w:pPr>
            <w:r>
              <w:rPr>
                <w:rFonts w:hint="eastAsia" w:ascii="仿宋_GB2312"/>
                <w:sz w:val="24"/>
              </w:rPr>
              <w:t>5</w:t>
            </w:r>
          </w:p>
        </w:tc>
        <w:tc>
          <w:tcPr>
            <w:tcW w:w="1800" w:type="dxa"/>
            <w:noWrap w:val="0"/>
            <w:vAlign w:val="top"/>
          </w:tcPr>
          <w:p w14:paraId="41983FC8">
            <w:pPr>
              <w:spacing w:line="400" w:lineRule="exact"/>
              <w:rPr>
                <w:rFonts w:hint="eastAsia" w:ascii="仿宋_GB2312"/>
                <w:sz w:val="24"/>
              </w:rPr>
            </w:pPr>
            <w:r>
              <w:rPr>
                <w:rFonts w:hint="eastAsia" w:ascii="仿宋_GB2312"/>
                <w:sz w:val="24"/>
              </w:rPr>
              <w:t>龙岩市科技局</w:t>
            </w:r>
          </w:p>
        </w:tc>
        <w:tc>
          <w:tcPr>
            <w:tcW w:w="1440" w:type="dxa"/>
            <w:noWrap w:val="0"/>
            <w:vAlign w:val="top"/>
          </w:tcPr>
          <w:p w14:paraId="69AAFD1D">
            <w:pPr>
              <w:spacing w:line="400" w:lineRule="exact"/>
              <w:rPr>
                <w:rFonts w:hint="eastAsia" w:ascii="仿宋_GB2312"/>
                <w:sz w:val="24"/>
              </w:rPr>
            </w:pPr>
            <w:r>
              <w:rPr>
                <w:rFonts w:hint="eastAsia" w:ascii="仿宋_GB2312"/>
                <w:sz w:val="24"/>
              </w:rPr>
              <w:t>11</w:t>
            </w:r>
          </w:p>
        </w:tc>
        <w:tc>
          <w:tcPr>
            <w:tcW w:w="5040" w:type="dxa"/>
            <w:noWrap w:val="0"/>
            <w:vAlign w:val="top"/>
          </w:tcPr>
          <w:p w14:paraId="03253B52">
            <w:pPr>
              <w:spacing w:line="400" w:lineRule="exact"/>
              <w:rPr>
                <w:rFonts w:hint="eastAsia" w:ascii="仿宋_GB2312"/>
                <w:sz w:val="24"/>
              </w:rPr>
            </w:pPr>
            <w:r>
              <w:rPr>
                <w:rFonts w:hint="eastAsia" w:ascii="仿宋_GB2312"/>
                <w:sz w:val="24"/>
              </w:rPr>
              <w:t>其中，龙岩国家高新区企业申报的不少于1项</w:t>
            </w:r>
          </w:p>
        </w:tc>
      </w:tr>
      <w:tr w14:paraId="11DA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noWrap w:val="0"/>
            <w:vAlign w:val="top"/>
          </w:tcPr>
          <w:p w14:paraId="43CFCD30">
            <w:pPr>
              <w:spacing w:line="400" w:lineRule="exact"/>
              <w:jc w:val="center"/>
              <w:rPr>
                <w:rFonts w:hint="eastAsia" w:ascii="仿宋_GB2312"/>
                <w:sz w:val="24"/>
              </w:rPr>
            </w:pPr>
            <w:r>
              <w:rPr>
                <w:rFonts w:hint="eastAsia" w:ascii="仿宋_GB2312"/>
                <w:sz w:val="24"/>
              </w:rPr>
              <w:t>6</w:t>
            </w:r>
          </w:p>
        </w:tc>
        <w:tc>
          <w:tcPr>
            <w:tcW w:w="1800" w:type="dxa"/>
            <w:noWrap w:val="0"/>
            <w:vAlign w:val="top"/>
          </w:tcPr>
          <w:p w14:paraId="09213999">
            <w:pPr>
              <w:spacing w:line="400" w:lineRule="exact"/>
              <w:rPr>
                <w:rFonts w:hint="eastAsia" w:ascii="仿宋_GB2312"/>
                <w:sz w:val="24"/>
              </w:rPr>
            </w:pPr>
            <w:r>
              <w:rPr>
                <w:rFonts w:hint="eastAsia" w:ascii="仿宋_GB2312"/>
                <w:sz w:val="24"/>
              </w:rPr>
              <w:t>三明市科技局</w:t>
            </w:r>
          </w:p>
        </w:tc>
        <w:tc>
          <w:tcPr>
            <w:tcW w:w="1440" w:type="dxa"/>
            <w:noWrap w:val="0"/>
            <w:vAlign w:val="top"/>
          </w:tcPr>
          <w:p w14:paraId="651E0016">
            <w:pPr>
              <w:spacing w:line="400" w:lineRule="exact"/>
              <w:rPr>
                <w:rFonts w:hint="eastAsia" w:ascii="仿宋_GB2312"/>
                <w:sz w:val="24"/>
              </w:rPr>
            </w:pPr>
            <w:r>
              <w:rPr>
                <w:rFonts w:hint="eastAsia" w:ascii="仿宋_GB2312"/>
                <w:sz w:val="24"/>
              </w:rPr>
              <w:t>11</w:t>
            </w:r>
          </w:p>
        </w:tc>
        <w:tc>
          <w:tcPr>
            <w:tcW w:w="5040" w:type="dxa"/>
            <w:noWrap w:val="0"/>
            <w:vAlign w:val="top"/>
          </w:tcPr>
          <w:p w14:paraId="45DC9590">
            <w:pPr>
              <w:spacing w:line="400" w:lineRule="exact"/>
              <w:rPr>
                <w:rFonts w:hint="eastAsia" w:ascii="仿宋_GB2312"/>
                <w:sz w:val="24"/>
              </w:rPr>
            </w:pPr>
            <w:r>
              <w:rPr>
                <w:rFonts w:hint="eastAsia" w:ascii="仿宋_GB2312"/>
                <w:sz w:val="24"/>
              </w:rPr>
              <w:t>其中，三明国家高新区企业申报的不少于1项</w:t>
            </w:r>
          </w:p>
        </w:tc>
      </w:tr>
      <w:tr w14:paraId="3C333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noWrap w:val="0"/>
            <w:vAlign w:val="top"/>
          </w:tcPr>
          <w:p w14:paraId="0F67D6BF">
            <w:pPr>
              <w:spacing w:line="400" w:lineRule="exact"/>
              <w:jc w:val="center"/>
              <w:rPr>
                <w:rFonts w:hint="eastAsia" w:ascii="仿宋_GB2312"/>
                <w:sz w:val="24"/>
              </w:rPr>
            </w:pPr>
            <w:r>
              <w:rPr>
                <w:rFonts w:hint="eastAsia" w:ascii="仿宋_GB2312"/>
                <w:sz w:val="24"/>
              </w:rPr>
              <w:t>7</w:t>
            </w:r>
          </w:p>
        </w:tc>
        <w:tc>
          <w:tcPr>
            <w:tcW w:w="1800" w:type="dxa"/>
            <w:noWrap w:val="0"/>
            <w:vAlign w:val="top"/>
          </w:tcPr>
          <w:p w14:paraId="1227A941">
            <w:pPr>
              <w:spacing w:line="400" w:lineRule="exact"/>
              <w:rPr>
                <w:rFonts w:hint="eastAsia" w:ascii="仿宋_GB2312"/>
                <w:sz w:val="24"/>
              </w:rPr>
            </w:pPr>
            <w:r>
              <w:rPr>
                <w:rFonts w:hint="eastAsia" w:ascii="仿宋_GB2312"/>
                <w:sz w:val="24"/>
              </w:rPr>
              <w:t>南平市科技局</w:t>
            </w:r>
          </w:p>
        </w:tc>
        <w:tc>
          <w:tcPr>
            <w:tcW w:w="1440" w:type="dxa"/>
            <w:noWrap w:val="0"/>
            <w:vAlign w:val="top"/>
          </w:tcPr>
          <w:p w14:paraId="0DE1967A">
            <w:pPr>
              <w:spacing w:line="400" w:lineRule="exact"/>
              <w:rPr>
                <w:rFonts w:hint="eastAsia" w:ascii="仿宋_GB2312"/>
                <w:sz w:val="24"/>
              </w:rPr>
            </w:pPr>
            <w:r>
              <w:rPr>
                <w:rFonts w:hint="eastAsia" w:ascii="仿宋_GB2312"/>
                <w:sz w:val="24"/>
              </w:rPr>
              <w:t>11</w:t>
            </w:r>
          </w:p>
        </w:tc>
        <w:tc>
          <w:tcPr>
            <w:tcW w:w="5040" w:type="dxa"/>
            <w:noWrap w:val="0"/>
            <w:vAlign w:val="top"/>
          </w:tcPr>
          <w:p w14:paraId="72F601F9">
            <w:pPr>
              <w:spacing w:line="400" w:lineRule="exact"/>
              <w:rPr>
                <w:rFonts w:hint="eastAsia" w:ascii="仿宋_GB2312"/>
                <w:sz w:val="24"/>
              </w:rPr>
            </w:pPr>
          </w:p>
        </w:tc>
      </w:tr>
      <w:tr w14:paraId="49BC3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noWrap w:val="0"/>
            <w:vAlign w:val="top"/>
          </w:tcPr>
          <w:p w14:paraId="0B1A1A93">
            <w:pPr>
              <w:spacing w:line="400" w:lineRule="exact"/>
              <w:jc w:val="center"/>
              <w:rPr>
                <w:rFonts w:hint="eastAsia" w:ascii="仿宋_GB2312"/>
                <w:sz w:val="24"/>
              </w:rPr>
            </w:pPr>
            <w:r>
              <w:rPr>
                <w:rFonts w:hint="eastAsia" w:ascii="仿宋_GB2312"/>
                <w:sz w:val="24"/>
              </w:rPr>
              <w:t>8</w:t>
            </w:r>
          </w:p>
        </w:tc>
        <w:tc>
          <w:tcPr>
            <w:tcW w:w="1800" w:type="dxa"/>
            <w:noWrap w:val="0"/>
            <w:vAlign w:val="top"/>
          </w:tcPr>
          <w:p w14:paraId="1DA6D3E4">
            <w:pPr>
              <w:spacing w:line="400" w:lineRule="exact"/>
              <w:rPr>
                <w:rFonts w:hint="eastAsia" w:ascii="仿宋_GB2312"/>
                <w:sz w:val="24"/>
              </w:rPr>
            </w:pPr>
            <w:r>
              <w:rPr>
                <w:rFonts w:hint="eastAsia" w:ascii="仿宋_GB2312"/>
                <w:sz w:val="24"/>
              </w:rPr>
              <w:t>宁德市科技局</w:t>
            </w:r>
          </w:p>
        </w:tc>
        <w:tc>
          <w:tcPr>
            <w:tcW w:w="1440" w:type="dxa"/>
            <w:noWrap w:val="0"/>
            <w:vAlign w:val="top"/>
          </w:tcPr>
          <w:p w14:paraId="73ABFB97">
            <w:pPr>
              <w:spacing w:line="400" w:lineRule="exact"/>
              <w:rPr>
                <w:rFonts w:hint="eastAsia" w:ascii="仿宋_GB2312"/>
                <w:sz w:val="24"/>
              </w:rPr>
            </w:pPr>
            <w:r>
              <w:rPr>
                <w:rFonts w:hint="eastAsia" w:ascii="仿宋_GB2312"/>
                <w:sz w:val="24"/>
              </w:rPr>
              <w:t>11</w:t>
            </w:r>
          </w:p>
        </w:tc>
        <w:tc>
          <w:tcPr>
            <w:tcW w:w="5040" w:type="dxa"/>
            <w:noWrap w:val="0"/>
            <w:vAlign w:val="top"/>
          </w:tcPr>
          <w:p w14:paraId="51D34228">
            <w:pPr>
              <w:spacing w:line="400" w:lineRule="exact"/>
              <w:rPr>
                <w:rFonts w:hint="eastAsia" w:ascii="仿宋_GB2312"/>
                <w:sz w:val="24"/>
              </w:rPr>
            </w:pPr>
          </w:p>
        </w:tc>
      </w:tr>
      <w:tr w14:paraId="39F9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noWrap w:val="0"/>
            <w:vAlign w:val="top"/>
          </w:tcPr>
          <w:p w14:paraId="0E31ECD9">
            <w:pPr>
              <w:spacing w:line="400" w:lineRule="exact"/>
              <w:jc w:val="center"/>
              <w:rPr>
                <w:rFonts w:hint="eastAsia" w:ascii="仿宋_GB2312"/>
                <w:sz w:val="24"/>
              </w:rPr>
            </w:pPr>
            <w:r>
              <w:rPr>
                <w:rFonts w:hint="eastAsia" w:ascii="仿宋_GB2312"/>
                <w:sz w:val="24"/>
              </w:rPr>
              <w:t>9</w:t>
            </w:r>
          </w:p>
        </w:tc>
        <w:tc>
          <w:tcPr>
            <w:tcW w:w="1800" w:type="dxa"/>
            <w:noWrap w:val="0"/>
            <w:vAlign w:val="top"/>
          </w:tcPr>
          <w:p w14:paraId="06FB8B0D">
            <w:pPr>
              <w:spacing w:line="400" w:lineRule="exact"/>
              <w:rPr>
                <w:rFonts w:hint="eastAsia" w:ascii="仿宋_GB2312"/>
                <w:sz w:val="24"/>
              </w:rPr>
            </w:pPr>
            <w:r>
              <w:rPr>
                <w:rFonts w:hint="eastAsia" w:ascii="仿宋_GB2312"/>
                <w:sz w:val="24"/>
              </w:rPr>
              <w:t>平潭综合实验区经济发展局</w:t>
            </w:r>
          </w:p>
        </w:tc>
        <w:tc>
          <w:tcPr>
            <w:tcW w:w="1440" w:type="dxa"/>
            <w:noWrap w:val="0"/>
            <w:vAlign w:val="top"/>
          </w:tcPr>
          <w:p w14:paraId="60E2A7AB">
            <w:pPr>
              <w:spacing w:line="400" w:lineRule="exact"/>
              <w:rPr>
                <w:rFonts w:hint="eastAsia" w:ascii="仿宋_GB2312"/>
                <w:sz w:val="24"/>
              </w:rPr>
            </w:pPr>
            <w:r>
              <w:rPr>
                <w:rFonts w:hint="eastAsia" w:ascii="仿宋_GB2312"/>
                <w:sz w:val="24"/>
              </w:rPr>
              <w:t>5</w:t>
            </w:r>
          </w:p>
        </w:tc>
        <w:tc>
          <w:tcPr>
            <w:tcW w:w="5040" w:type="dxa"/>
            <w:noWrap w:val="0"/>
            <w:vAlign w:val="top"/>
          </w:tcPr>
          <w:p w14:paraId="29ED2972">
            <w:pPr>
              <w:spacing w:line="400" w:lineRule="exact"/>
              <w:rPr>
                <w:rFonts w:hint="eastAsia" w:ascii="仿宋_GB2312"/>
                <w:sz w:val="24"/>
              </w:rPr>
            </w:pPr>
          </w:p>
        </w:tc>
      </w:tr>
    </w:tbl>
    <w:p w14:paraId="51D09F84">
      <w:pPr>
        <w:spacing w:line="400" w:lineRule="exact"/>
        <w:ind w:firstLine="640" w:firstLineChars="200"/>
        <w:rPr>
          <w:rFonts w:hint="eastAsia" w:ascii="黑体" w:hAnsi="黑体" w:eastAsia="黑体" w:cs="宋体"/>
          <w:color w:val="000000"/>
          <w:kern w:val="0"/>
        </w:rPr>
      </w:pPr>
      <w:r>
        <w:rPr>
          <w:rFonts w:hint="eastAsia" w:ascii="黑体" w:hAnsi="黑体" w:eastAsia="黑体" w:cs="宋体"/>
          <w:color w:val="000000"/>
          <w:kern w:val="0"/>
        </w:rPr>
        <w:t>五、申报程序</w:t>
      </w:r>
    </w:p>
    <w:p w14:paraId="0E408671">
      <w:pPr>
        <w:wordWrap w:val="0"/>
        <w:spacing w:line="400" w:lineRule="exact"/>
        <w:ind w:firstLine="640" w:firstLineChars="200"/>
        <w:rPr>
          <w:rFonts w:hint="eastAsia" w:ascii="仿宋_GB2312"/>
        </w:rPr>
      </w:pPr>
      <w:r>
        <w:rPr>
          <w:rFonts w:hint="eastAsia" w:ascii="仿宋_GB2312"/>
        </w:rPr>
        <w:t>各设区市及平潭综合实验区科技行政管理部门应按照本通知要求，认真开展调研和遴选工作，对推荐的备选项目均应到现场进行调研核实，并应统筹兼顾工业、农业和社发领域需求，严格按照推荐限额研究提出推荐备选项目，指导和组织申报单位及时通过福建省科技计划项目管理信息系统网上填报《福建省科技计划项目申请书》，编制项目可行性研究报告。</w:t>
      </w:r>
    </w:p>
    <w:p w14:paraId="7DCED06A">
      <w:pPr>
        <w:wordWrap w:val="0"/>
        <w:spacing w:line="400" w:lineRule="exact"/>
        <w:ind w:firstLine="640" w:firstLineChars="200"/>
        <w:rPr>
          <w:rFonts w:hint="eastAsia" w:ascii="仿宋_GB2312"/>
        </w:rPr>
      </w:pPr>
      <w:r>
        <w:rPr>
          <w:rFonts w:hint="eastAsia" w:ascii="仿宋_GB2312"/>
        </w:rPr>
        <w:t>网上申报流程为：申报单位注册登录福建省科技计划项目信息管理系统（http://xmgl.kjt.fujian.gov.cn）─申报管理─添加项目申请书─选择“区域发展项目”申请书和对应产业领域指南代码─填报申请书─上传附件（可行性研究报告、合作协议书、高新技术企业证书、2024年度企业研发经费投入结构明细表、体现主营业务收入的企业2024年度利润表、省级以上农业产业化龙头企业证书等）。</w:t>
      </w:r>
    </w:p>
    <w:p w14:paraId="1AAA991B">
      <w:pPr>
        <w:wordWrap w:val="0"/>
        <w:spacing w:line="400" w:lineRule="exact"/>
        <w:ind w:firstLine="640" w:firstLineChars="200"/>
        <w:rPr>
          <w:rFonts w:hint="eastAsia" w:ascii="仿宋_GB2312"/>
        </w:rPr>
      </w:pPr>
      <w:r>
        <w:rPr>
          <w:rFonts w:hint="eastAsia" w:ascii="仿宋_GB2312"/>
        </w:rPr>
        <w:t>各推荐单位通过省级项目推荐流程进行内部审核，上传项目现场调研核实意见表（格式下载网址：（http://xmgl.kjt.fujian.gov.cn</w:t>
      </w:r>
      <w:r>
        <w:rPr>
          <w:rFonts w:ascii="仿宋_GB2312"/>
        </w:rPr>
        <w:t>/</w:t>
      </w:r>
      <w:r>
        <w:rPr>
          <w:rFonts w:hint="eastAsia" w:ascii="仿宋_GB2312"/>
        </w:rPr>
        <w:t>）、推荐函、项目汇总表（格式下载网址：http://xmgl.kjt.fujian.gov.cn），并负责对申报材料进行网上推荐。如没有及时将以上材料上传的，需按照工业、农业、社发领域将推荐函、项目汇总表、项目现场调研核实意见表各一式1份分别寄送我厅高新处、农村处和社发处，逾期不再受理（项目申请书及相关附件纸质材料不需报送）。</w:t>
      </w:r>
    </w:p>
    <w:p w14:paraId="27E09579">
      <w:pPr>
        <w:spacing w:line="400" w:lineRule="exact"/>
        <w:jc w:val="center"/>
        <w:rPr>
          <w:rFonts w:hint="eastAsia"/>
        </w:rPr>
      </w:pPr>
    </w:p>
    <w:p w14:paraId="5E2A6AF4">
      <w:pPr>
        <w:spacing w:line="400" w:lineRule="exact"/>
        <w:jc w:val="center"/>
        <w:rPr>
          <w:rFonts w:hint="eastAsia"/>
        </w:rPr>
      </w:pPr>
      <w:r>
        <w:rPr>
          <w:rFonts w:hint="eastAsia"/>
        </w:rPr>
        <w:t>202</w:t>
      </w:r>
      <w:r>
        <w:t>5</w:t>
      </w:r>
      <w:r>
        <w:rPr>
          <w:rFonts w:hint="eastAsia"/>
        </w:rPr>
        <w:t>年省区域发展项目申报代码表</w:t>
      </w:r>
    </w:p>
    <w:tbl>
      <w:tblPr>
        <w:tblStyle w:val="2"/>
        <w:tblW w:w="0" w:type="auto"/>
        <w:jc w:val="center"/>
        <w:tblLayout w:type="fixed"/>
        <w:tblCellMar>
          <w:top w:w="0" w:type="dxa"/>
          <w:left w:w="108" w:type="dxa"/>
          <w:bottom w:w="0" w:type="dxa"/>
          <w:right w:w="108" w:type="dxa"/>
        </w:tblCellMar>
      </w:tblPr>
      <w:tblGrid>
        <w:gridCol w:w="1501"/>
        <w:gridCol w:w="2150"/>
        <w:gridCol w:w="3098"/>
        <w:gridCol w:w="1477"/>
      </w:tblGrid>
      <w:tr w14:paraId="1DB373A5">
        <w:tblPrEx>
          <w:tblCellMar>
            <w:top w:w="0" w:type="dxa"/>
            <w:left w:w="108" w:type="dxa"/>
            <w:bottom w:w="0" w:type="dxa"/>
            <w:right w:w="108" w:type="dxa"/>
          </w:tblCellMar>
        </w:tblPrEx>
        <w:trPr>
          <w:trHeight w:val="517" w:hRule="atLeast"/>
          <w:jc w:val="center"/>
        </w:trPr>
        <w:tc>
          <w:tcPr>
            <w:tcW w:w="1501" w:type="dxa"/>
            <w:tcBorders>
              <w:top w:val="single" w:color="auto" w:sz="4" w:space="0"/>
              <w:left w:val="single" w:color="auto" w:sz="4" w:space="0"/>
              <w:bottom w:val="single" w:color="auto" w:sz="4" w:space="0"/>
              <w:right w:val="single" w:color="auto" w:sz="4" w:space="0"/>
            </w:tcBorders>
            <w:noWrap w:val="0"/>
            <w:vAlign w:val="center"/>
          </w:tcPr>
          <w:p w14:paraId="118BAF53">
            <w:pPr>
              <w:widowControl/>
              <w:spacing w:line="400" w:lineRule="exact"/>
              <w:jc w:val="center"/>
              <w:rPr>
                <w:rFonts w:hint="eastAsia" w:ascii="仿宋_GB2312" w:hAnsi="宋体" w:cs="宋体"/>
                <w:kern w:val="0"/>
                <w:sz w:val="24"/>
              </w:rPr>
            </w:pPr>
            <w:r>
              <w:rPr>
                <w:rFonts w:hint="eastAsia" w:ascii="仿宋_GB2312" w:hAnsi="宋体" w:cs="宋体"/>
                <w:kern w:val="0"/>
                <w:sz w:val="24"/>
              </w:rPr>
              <w:t>业务处室</w:t>
            </w:r>
          </w:p>
        </w:tc>
        <w:tc>
          <w:tcPr>
            <w:tcW w:w="2150" w:type="dxa"/>
            <w:tcBorders>
              <w:top w:val="single" w:color="auto" w:sz="4" w:space="0"/>
              <w:left w:val="nil"/>
              <w:bottom w:val="single" w:color="auto" w:sz="4" w:space="0"/>
              <w:right w:val="single" w:color="auto" w:sz="4" w:space="0"/>
            </w:tcBorders>
            <w:noWrap w:val="0"/>
            <w:vAlign w:val="center"/>
          </w:tcPr>
          <w:p w14:paraId="669128E0">
            <w:pPr>
              <w:widowControl/>
              <w:spacing w:line="400" w:lineRule="exact"/>
              <w:jc w:val="center"/>
              <w:rPr>
                <w:rFonts w:hint="eastAsia" w:ascii="仿宋_GB2312" w:hAnsi="宋体" w:cs="宋体"/>
                <w:kern w:val="0"/>
                <w:sz w:val="24"/>
              </w:rPr>
            </w:pPr>
            <w:r>
              <w:rPr>
                <w:rFonts w:hint="eastAsia" w:ascii="仿宋_GB2312" w:hAnsi="宋体" w:cs="宋体"/>
                <w:kern w:val="0"/>
                <w:sz w:val="24"/>
              </w:rPr>
              <w:t>计划类别</w:t>
            </w:r>
          </w:p>
        </w:tc>
        <w:tc>
          <w:tcPr>
            <w:tcW w:w="3098" w:type="dxa"/>
            <w:tcBorders>
              <w:top w:val="single" w:color="auto" w:sz="4" w:space="0"/>
              <w:left w:val="nil"/>
              <w:bottom w:val="single" w:color="auto" w:sz="4" w:space="0"/>
              <w:right w:val="single" w:color="auto" w:sz="4" w:space="0"/>
            </w:tcBorders>
            <w:noWrap w:val="0"/>
            <w:vAlign w:val="center"/>
          </w:tcPr>
          <w:p w14:paraId="531ABFFE">
            <w:pPr>
              <w:widowControl/>
              <w:spacing w:line="400" w:lineRule="exact"/>
              <w:jc w:val="center"/>
              <w:rPr>
                <w:rFonts w:hint="eastAsia" w:ascii="仿宋_GB2312" w:hAnsi="宋体" w:cs="宋体"/>
                <w:kern w:val="0"/>
                <w:sz w:val="24"/>
              </w:rPr>
            </w:pPr>
            <w:r>
              <w:rPr>
                <w:rFonts w:hint="eastAsia" w:ascii="仿宋_GB2312" w:hAnsi="宋体" w:cs="宋体"/>
                <w:kern w:val="0"/>
                <w:sz w:val="24"/>
              </w:rPr>
              <w:t>优先主题</w:t>
            </w:r>
          </w:p>
        </w:tc>
        <w:tc>
          <w:tcPr>
            <w:tcW w:w="1477" w:type="dxa"/>
            <w:tcBorders>
              <w:top w:val="single" w:color="auto" w:sz="4" w:space="0"/>
              <w:left w:val="nil"/>
              <w:bottom w:val="single" w:color="auto" w:sz="4" w:space="0"/>
              <w:right w:val="single" w:color="auto" w:sz="4" w:space="0"/>
            </w:tcBorders>
            <w:noWrap w:val="0"/>
            <w:vAlign w:val="center"/>
          </w:tcPr>
          <w:p w14:paraId="47BB4D43">
            <w:pPr>
              <w:widowControl/>
              <w:spacing w:line="400" w:lineRule="exact"/>
              <w:jc w:val="center"/>
              <w:rPr>
                <w:rFonts w:hint="eastAsia" w:ascii="仿宋_GB2312" w:hAnsi="宋体" w:cs="宋体"/>
                <w:kern w:val="0"/>
                <w:sz w:val="24"/>
              </w:rPr>
            </w:pPr>
            <w:r>
              <w:rPr>
                <w:rFonts w:hint="eastAsia" w:ascii="仿宋_GB2312" w:hAnsi="宋体" w:cs="宋体"/>
                <w:kern w:val="0"/>
                <w:sz w:val="24"/>
              </w:rPr>
              <w:t>代码</w:t>
            </w:r>
          </w:p>
        </w:tc>
      </w:tr>
      <w:tr w14:paraId="5A3B3609">
        <w:tblPrEx>
          <w:tblCellMar>
            <w:top w:w="0" w:type="dxa"/>
            <w:left w:w="108" w:type="dxa"/>
            <w:bottom w:w="0" w:type="dxa"/>
            <w:right w:w="108" w:type="dxa"/>
          </w:tblCellMar>
        </w:tblPrEx>
        <w:trPr>
          <w:trHeight w:val="1108" w:hRule="atLeast"/>
          <w:jc w:val="center"/>
        </w:trPr>
        <w:tc>
          <w:tcPr>
            <w:tcW w:w="1501" w:type="dxa"/>
            <w:tcBorders>
              <w:top w:val="nil"/>
              <w:left w:val="single" w:color="auto" w:sz="4" w:space="0"/>
              <w:bottom w:val="single" w:color="auto" w:sz="4" w:space="0"/>
              <w:right w:val="single" w:color="auto" w:sz="4" w:space="0"/>
            </w:tcBorders>
            <w:noWrap w:val="0"/>
            <w:vAlign w:val="center"/>
          </w:tcPr>
          <w:p w14:paraId="7E443160">
            <w:pPr>
              <w:widowControl/>
              <w:spacing w:line="400" w:lineRule="exact"/>
              <w:jc w:val="center"/>
              <w:rPr>
                <w:rFonts w:hint="eastAsia" w:ascii="仿宋_GB2312" w:hAnsi="宋体" w:cs="宋体"/>
                <w:kern w:val="0"/>
                <w:sz w:val="24"/>
              </w:rPr>
            </w:pPr>
            <w:r>
              <w:rPr>
                <w:rFonts w:hint="eastAsia" w:ascii="仿宋_GB2312" w:hAnsi="宋体" w:cs="宋体"/>
                <w:kern w:val="0"/>
                <w:sz w:val="24"/>
              </w:rPr>
              <w:t>高新技术与工业科技处</w:t>
            </w:r>
          </w:p>
        </w:tc>
        <w:tc>
          <w:tcPr>
            <w:tcW w:w="2150" w:type="dxa"/>
            <w:tcBorders>
              <w:top w:val="nil"/>
              <w:left w:val="nil"/>
              <w:bottom w:val="single" w:color="auto" w:sz="4" w:space="0"/>
              <w:right w:val="single" w:color="auto" w:sz="4" w:space="0"/>
            </w:tcBorders>
            <w:noWrap w:val="0"/>
            <w:vAlign w:val="center"/>
          </w:tcPr>
          <w:p w14:paraId="51B41006">
            <w:pPr>
              <w:widowControl/>
              <w:spacing w:line="400" w:lineRule="exact"/>
              <w:jc w:val="center"/>
              <w:rPr>
                <w:rFonts w:hint="eastAsia" w:ascii="仿宋_GB2312"/>
                <w:color w:val="000000"/>
                <w:sz w:val="21"/>
                <w:szCs w:val="21"/>
              </w:rPr>
            </w:pPr>
            <w:r>
              <w:rPr>
                <w:rFonts w:hint="eastAsia" w:ascii="仿宋_GB2312"/>
                <w:color w:val="000000"/>
                <w:sz w:val="21"/>
                <w:szCs w:val="21"/>
              </w:rPr>
              <w:t>产业技术开发与应用计划-区域发展项目</w:t>
            </w:r>
          </w:p>
        </w:tc>
        <w:tc>
          <w:tcPr>
            <w:tcW w:w="3098" w:type="dxa"/>
            <w:tcBorders>
              <w:top w:val="nil"/>
              <w:left w:val="nil"/>
              <w:bottom w:val="single" w:color="auto" w:sz="4" w:space="0"/>
              <w:right w:val="single" w:color="auto" w:sz="4" w:space="0"/>
            </w:tcBorders>
            <w:noWrap w:val="0"/>
            <w:vAlign w:val="center"/>
          </w:tcPr>
          <w:p w14:paraId="70B8666A">
            <w:pPr>
              <w:widowControl/>
              <w:spacing w:line="400" w:lineRule="exact"/>
              <w:jc w:val="center"/>
              <w:rPr>
                <w:rFonts w:hint="eastAsia" w:ascii="仿宋_GB2312" w:hAnsi="宋体" w:cs="宋体"/>
                <w:kern w:val="0"/>
                <w:sz w:val="24"/>
              </w:rPr>
            </w:pPr>
            <w:r>
              <w:rPr>
                <w:rFonts w:hint="eastAsia" w:ascii="仿宋_GB2312" w:hAnsi="宋体" w:cs="宋体"/>
                <w:kern w:val="0"/>
                <w:sz w:val="24"/>
              </w:rPr>
              <w:t>工业领域区域发展项目</w:t>
            </w:r>
          </w:p>
        </w:tc>
        <w:tc>
          <w:tcPr>
            <w:tcW w:w="1477" w:type="dxa"/>
            <w:tcBorders>
              <w:top w:val="nil"/>
              <w:left w:val="nil"/>
              <w:bottom w:val="single" w:color="auto" w:sz="4" w:space="0"/>
              <w:right w:val="single" w:color="auto" w:sz="4" w:space="0"/>
            </w:tcBorders>
            <w:noWrap w:val="0"/>
            <w:vAlign w:val="center"/>
          </w:tcPr>
          <w:p w14:paraId="4F0FCD7F">
            <w:pPr>
              <w:widowControl/>
              <w:spacing w:line="400" w:lineRule="exact"/>
              <w:jc w:val="center"/>
              <w:rPr>
                <w:rFonts w:hint="eastAsia" w:ascii="仿宋_GB2312" w:hAnsi="宋体" w:cs="宋体"/>
                <w:kern w:val="0"/>
                <w:sz w:val="24"/>
              </w:rPr>
            </w:pPr>
            <w:r>
              <w:rPr>
                <w:rFonts w:hint="eastAsia" w:ascii="仿宋_GB2312" w:hAnsi="宋体" w:cs="宋体"/>
                <w:kern w:val="0"/>
                <w:sz w:val="24"/>
              </w:rPr>
              <w:t>202</w:t>
            </w:r>
            <w:r>
              <w:rPr>
                <w:rFonts w:ascii="仿宋_GB2312" w:hAnsi="宋体" w:cs="宋体"/>
                <w:kern w:val="0"/>
                <w:sz w:val="24"/>
              </w:rPr>
              <w:t>5</w:t>
            </w:r>
            <w:r>
              <w:rPr>
                <w:rFonts w:hint="eastAsia" w:ascii="仿宋_GB2312" w:hAnsi="宋体" w:cs="宋体"/>
                <w:kern w:val="0"/>
                <w:sz w:val="24"/>
              </w:rPr>
              <w:t>H4101</w:t>
            </w:r>
          </w:p>
        </w:tc>
      </w:tr>
      <w:tr w14:paraId="21444BFB">
        <w:tblPrEx>
          <w:tblCellMar>
            <w:top w:w="0" w:type="dxa"/>
            <w:left w:w="108" w:type="dxa"/>
            <w:bottom w:w="0" w:type="dxa"/>
            <w:right w:w="108" w:type="dxa"/>
          </w:tblCellMar>
        </w:tblPrEx>
        <w:trPr>
          <w:trHeight w:val="842" w:hRule="atLeast"/>
          <w:jc w:val="center"/>
        </w:trPr>
        <w:tc>
          <w:tcPr>
            <w:tcW w:w="1501" w:type="dxa"/>
            <w:tcBorders>
              <w:top w:val="nil"/>
              <w:left w:val="single" w:color="auto" w:sz="4" w:space="0"/>
              <w:bottom w:val="single" w:color="auto" w:sz="4" w:space="0"/>
              <w:right w:val="single" w:color="auto" w:sz="4" w:space="0"/>
            </w:tcBorders>
            <w:noWrap w:val="0"/>
            <w:vAlign w:val="center"/>
          </w:tcPr>
          <w:p w14:paraId="2697F5CA">
            <w:pPr>
              <w:widowControl/>
              <w:spacing w:line="400" w:lineRule="exact"/>
              <w:jc w:val="center"/>
              <w:rPr>
                <w:rFonts w:hint="eastAsia" w:ascii="仿宋_GB2312" w:hAnsi="宋体" w:cs="宋体"/>
                <w:kern w:val="0"/>
                <w:sz w:val="24"/>
              </w:rPr>
            </w:pPr>
            <w:r>
              <w:rPr>
                <w:rFonts w:hint="eastAsia" w:ascii="仿宋_GB2312" w:hAnsi="宋体" w:cs="宋体"/>
                <w:kern w:val="0"/>
                <w:sz w:val="24"/>
              </w:rPr>
              <w:t>农村科技处</w:t>
            </w:r>
          </w:p>
        </w:tc>
        <w:tc>
          <w:tcPr>
            <w:tcW w:w="2150" w:type="dxa"/>
            <w:tcBorders>
              <w:top w:val="nil"/>
              <w:left w:val="nil"/>
              <w:bottom w:val="single" w:color="auto" w:sz="4" w:space="0"/>
              <w:right w:val="single" w:color="auto" w:sz="4" w:space="0"/>
            </w:tcBorders>
            <w:noWrap w:val="0"/>
            <w:vAlign w:val="center"/>
          </w:tcPr>
          <w:p w14:paraId="14D63178">
            <w:pPr>
              <w:widowControl/>
              <w:spacing w:line="400" w:lineRule="exact"/>
              <w:jc w:val="center"/>
              <w:rPr>
                <w:rFonts w:hint="eastAsia" w:ascii="仿宋_GB2312"/>
                <w:color w:val="000000"/>
                <w:sz w:val="21"/>
                <w:szCs w:val="21"/>
              </w:rPr>
            </w:pPr>
            <w:r>
              <w:rPr>
                <w:rFonts w:hint="eastAsia" w:ascii="仿宋_GB2312"/>
                <w:color w:val="000000"/>
                <w:sz w:val="21"/>
                <w:szCs w:val="21"/>
              </w:rPr>
              <w:t>产业技术开发与应用计划-区域发展项目</w:t>
            </w:r>
          </w:p>
        </w:tc>
        <w:tc>
          <w:tcPr>
            <w:tcW w:w="3098" w:type="dxa"/>
            <w:tcBorders>
              <w:top w:val="nil"/>
              <w:left w:val="nil"/>
              <w:bottom w:val="single" w:color="auto" w:sz="4" w:space="0"/>
              <w:right w:val="single" w:color="auto" w:sz="4" w:space="0"/>
            </w:tcBorders>
            <w:noWrap w:val="0"/>
            <w:vAlign w:val="center"/>
          </w:tcPr>
          <w:p w14:paraId="571AC075">
            <w:pPr>
              <w:widowControl/>
              <w:spacing w:line="400" w:lineRule="exact"/>
              <w:jc w:val="center"/>
              <w:rPr>
                <w:rFonts w:hint="eastAsia" w:ascii="仿宋_GB2312" w:hAnsi="宋体" w:cs="宋体"/>
                <w:kern w:val="0"/>
                <w:sz w:val="24"/>
              </w:rPr>
            </w:pPr>
            <w:r>
              <w:rPr>
                <w:rFonts w:hint="eastAsia" w:ascii="仿宋_GB2312" w:hAnsi="宋体" w:cs="宋体"/>
                <w:kern w:val="0"/>
                <w:sz w:val="24"/>
              </w:rPr>
              <w:t>农业领域区域发展项目</w:t>
            </w:r>
          </w:p>
        </w:tc>
        <w:tc>
          <w:tcPr>
            <w:tcW w:w="1477" w:type="dxa"/>
            <w:tcBorders>
              <w:top w:val="nil"/>
              <w:left w:val="nil"/>
              <w:bottom w:val="single" w:color="auto" w:sz="4" w:space="0"/>
              <w:right w:val="single" w:color="auto" w:sz="4" w:space="0"/>
            </w:tcBorders>
            <w:noWrap w:val="0"/>
            <w:vAlign w:val="center"/>
          </w:tcPr>
          <w:p w14:paraId="24C0C4EF">
            <w:pPr>
              <w:widowControl/>
              <w:spacing w:line="400" w:lineRule="exact"/>
              <w:jc w:val="center"/>
              <w:rPr>
                <w:rFonts w:hint="eastAsia" w:ascii="仿宋_GB2312" w:hAnsi="宋体" w:cs="宋体"/>
                <w:kern w:val="0"/>
                <w:sz w:val="24"/>
              </w:rPr>
            </w:pPr>
            <w:r>
              <w:rPr>
                <w:rFonts w:hint="eastAsia" w:ascii="仿宋_GB2312" w:hAnsi="宋体" w:cs="宋体"/>
                <w:kern w:val="0"/>
                <w:sz w:val="24"/>
              </w:rPr>
              <w:t>202</w:t>
            </w:r>
            <w:r>
              <w:rPr>
                <w:rFonts w:ascii="仿宋_GB2312" w:hAnsi="宋体" w:cs="宋体"/>
                <w:kern w:val="0"/>
                <w:sz w:val="24"/>
              </w:rPr>
              <w:t>5</w:t>
            </w:r>
            <w:r>
              <w:rPr>
                <w:rFonts w:hint="eastAsia" w:ascii="仿宋_GB2312" w:hAnsi="宋体" w:cs="宋体"/>
                <w:kern w:val="0"/>
                <w:sz w:val="24"/>
              </w:rPr>
              <w:t>N3101</w:t>
            </w:r>
          </w:p>
        </w:tc>
      </w:tr>
      <w:tr w14:paraId="3BE8C98A">
        <w:tblPrEx>
          <w:tblCellMar>
            <w:top w:w="0" w:type="dxa"/>
            <w:left w:w="108" w:type="dxa"/>
            <w:bottom w:w="0" w:type="dxa"/>
            <w:right w:w="108" w:type="dxa"/>
          </w:tblCellMar>
        </w:tblPrEx>
        <w:trPr>
          <w:trHeight w:val="743" w:hRule="atLeast"/>
          <w:jc w:val="center"/>
        </w:trPr>
        <w:tc>
          <w:tcPr>
            <w:tcW w:w="1501" w:type="dxa"/>
            <w:tcBorders>
              <w:top w:val="nil"/>
              <w:left w:val="single" w:color="auto" w:sz="4" w:space="0"/>
              <w:bottom w:val="single" w:color="auto" w:sz="4" w:space="0"/>
              <w:right w:val="single" w:color="auto" w:sz="4" w:space="0"/>
            </w:tcBorders>
            <w:noWrap w:val="0"/>
            <w:vAlign w:val="center"/>
          </w:tcPr>
          <w:p w14:paraId="12435182">
            <w:pPr>
              <w:widowControl/>
              <w:spacing w:line="400" w:lineRule="exact"/>
              <w:jc w:val="center"/>
              <w:rPr>
                <w:rFonts w:hint="eastAsia" w:ascii="仿宋_GB2312" w:hAnsi="宋体" w:cs="宋体"/>
                <w:kern w:val="0"/>
                <w:sz w:val="24"/>
              </w:rPr>
            </w:pPr>
            <w:r>
              <w:rPr>
                <w:rFonts w:hint="eastAsia" w:ascii="仿宋_GB2312" w:hAnsi="宋体" w:cs="宋体"/>
                <w:kern w:val="0"/>
                <w:sz w:val="24"/>
              </w:rPr>
              <w:t>社会发展处</w:t>
            </w:r>
          </w:p>
        </w:tc>
        <w:tc>
          <w:tcPr>
            <w:tcW w:w="2150" w:type="dxa"/>
            <w:tcBorders>
              <w:top w:val="nil"/>
              <w:left w:val="nil"/>
              <w:bottom w:val="single" w:color="auto" w:sz="4" w:space="0"/>
              <w:right w:val="single" w:color="auto" w:sz="4" w:space="0"/>
            </w:tcBorders>
            <w:noWrap w:val="0"/>
            <w:vAlign w:val="center"/>
          </w:tcPr>
          <w:p w14:paraId="7DC9E027">
            <w:pPr>
              <w:widowControl/>
              <w:spacing w:line="400" w:lineRule="exact"/>
              <w:jc w:val="center"/>
              <w:rPr>
                <w:rFonts w:hint="eastAsia" w:ascii="仿宋_GB2312"/>
                <w:color w:val="000000"/>
                <w:sz w:val="21"/>
                <w:szCs w:val="21"/>
              </w:rPr>
            </w:pPr>
            <w:r>
              <w:rPr>
                <w:rFonts w:hint="eastAsia" w:ascii="仿宋_GB2312"/>
                <w:color w:val="000000"/>
                <w:sz w:val="21"/>
                <w:szCs w:val="21"/>
              </w:rPr>
              <w:t>产业技术开发与应用计划-区域发展项目</w:t>
            </w:r>
          </w:p>
        </w:tc>
        <w:tc>
          <w:tcPr>
            <w:tcW w:w="3098" w:type="dxa"/>
            <w:tcBorders>
              <w:top w:val="nil"/>
              <w:left w:val="nil"/>
              <w:bottom w:val="single" w:color="auto" w:sz="4" w:space="0"/>
              <w:right w:val="single" w:color="auto" w:sz="4" w:space="0"/>
            </w:tcBorders>
            <w:noWrap w:val="0"/>
            <w:vAlign w:val="center"/>
          </w:tcPr>
          <w:p w14:paraId="77E3CD74">
            <w:pPr>
              <w:widowControl/>
              <w:spacing w:line="400" w:lineRule="exact"/>
              <w:jc w:val="center"/>
              <w:rPr>
                <w:rFonts w:hint="eastAsia" w:ascii="仿宋_GB2312" w:hAnsi="宋体" w:cs="宋体"/>
                <w:kern w:val="0"/>
                <w:sz w:val="24"/>
              </w:rPr>
            </w:pPr>
            <w:r>
              <w:rPr>
                <w:rFonts w:hint="eastAsia" w:ascii="仿宋_GB2312" w:hAnsi="宋体" w:cs="宋体"/>
                <w:kern w:val="0"/>
                <w:sz w:val="24"/>
              </w:rPr>
              <w:t>社会发展领域区域发展项目</w:t>
            </w:r>
          </w:p>
        </w:tc>
        <w:tc>
          <w:tcPr>
            <w:tcW w:w="1477" w:type="dxa"/>
            <w:tcBorders>
              <w:top w:val="nil"/>
              <w:left w:val="nil"/>
              <w:bottom w:val="single" w:color="auto" w:sz="4" w:space="0"/>
              <w:right w:val="single" w:color="auto" w:sz="4" w:space="0"/>
            </w:tcBorders>
            <w:noWrap w:val="0"/>
            <w:vAlign w:val="center"/>
          </w:tcPr>
          <w:p w14:paraId="6F87D4F0">
            <w:pPr>
              <w:widowControl/>
              <w:spacing w:line="400" w:lineRule="exact"/>
              <w:jc w:val="center"/>
              <w:rPr>
                <w:rFonts w:hint="eastAsia" w:ascii="仿宋_GB2312" w:hAnsi="宋体" w:cs="宋体"/>
                <w:kern w:val="0"/>
                <w:sz w:val="24"/>
              </w:rPr>
            </w:pPr>
            <w:r>
              <w:rPr>
                <w:rFonts w:hint="eastAsia" w:ascii="仿宋_GB2312" w:hAnsi="宋体" w:cs="宋体"/>
                <w:kern w:val="0"/>
                <w:sz w:val="24"/>
              </w:rPr>
              <w:t>202</w:t>
            </w:r>
            <w:r>
              <w:rPr>
                <w:rFonts w:ascii="仿宋_GB2312" w:hAnsi="宋体" w:cs="宋体"/>
                <w:kern w:val="0"/>
                <w:sz w:val="24"/>
              </w:rPr>
              <w:t>5</w:t>
            </w:r>
            <w:r>
              <w:rPr>
                <w:rFonts w:hint="eastAsia" w:ascii="仿宋_GB2312" w:hAnsi="宋体" w:cs="宋体"/>
                <w:kern w:val="0"/>
                <w:sz w:val="24"/>
              </w:rPr>
              <w:t>Y3101</w:t>
            </w:r>
          </w:p>
        </w:tc>
      </w:tr>
    </w:tbl>
    <w:p w14:paraId="036B082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3731D5"/>
    <w:rsid w:val="18373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2025-01-10T14:09:00Z</dcterms:created>
  <dc:creator>十二</dc:creator>
  <cp:lastModifiedBy>十二</cp:lastModifiedBy>
  <dcterms:modified xsi:type="dcterms:W3CDTF">2025-01-10T14:09:39Z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D554B4586EE045B3A8FF84DA5DFA3EF2_11</vt:lpwstr>
  </property>
  <property fmtid="{D5CDD505-2E9C-101B-9397-08002B2CF9AE}" pid="4" name="KSOTemplateDocerSaveRecord">
    <vt:lpwstr>eyJoZGlkIjoiMGFjYTFkODQ1MWYyNmY0NzE5YTA4NTJmODJhNWM1NWQiLCJ1c2VySWQiOiIxMzg3MjgzNzg3In0=</vt:lpwstr>
  </property>
</Properties>
</file>