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669B23">
      <w:pPr>
        <w:spacing w:before="240" w:after="60"/>
        <w:outlineLvl w:val="0"/>
        <w:rPr>
          <w:rFonts w:hint="eastAsia" w:ascii="黑体" w:hAnsi="黑体" w:eastAsia="黑体"/>
          <w:bCs/>
        </w:rPr>
      </w:pPr>
      <w:r>
        <w:rPr>
          <w:rFonts w:hint="eastAsia" w:ascii="黑体" w:hAnsi="黑体" w:eastAsia="黑体"/>
          <w:bCs/>
        </w:rPr>
        <w:t>附件4</w:t>
      </w:r>
    </w:p>
    <w:p w14:paraId="3A7FEEFF">
      <w:pPr>
        <w:spacing w:before="240" w:after="60"/>
        <w:jc w:val="center"/>
        <w:outlineLvl w:val="0"/>
      </w:pPr>
      <w:r>
        <w:rPr>
          <w:rFonts w:hint="eastAsia" w:ascii="方正小标宋简体" w:hAnsi="黑体" w:eastAsia="方正小标宋简体"/>
          <w:bCs/>
          <w:sz w:val="44"/>
          <w:szCs w:val="44"/>
        </w:rPr>
        <w:t>2025年度科技特派员后补助项目申报指南</w:t>
      </w:r>
    </w:p>
    <w:p w14:paraId="49B21061">
      <w:pPr>
        <w:wordWrap w:val="0"/>
        <w:spacing w:line="400" w:lineRule="exact"/>
        <w:ind w:firstLine="640" w:firstLineChars="200"/>
        <w:rPr>
          <w:rFonts w:ascii="仿宋_GB2312"/>
        </w:rPr>
      </w:pPr>
      <w:r>
        <w:rPr>
          <w:rFonts w:hint="eastAsia" w:ascii="仿宋_GB2312"/>
        </w:rPr>
        <w:t>本批次项目采用以奖代补的补助方式，对团队（法人）科技特派员聚焦乡村振兴和产业转型需求，围绕区域特色优势产业，开展全产业链创业服务、技术开发与产业化示范并取得成效的项目给予支持，每个项目申请经费一般不超过50万元,成效特别显著的全产业链开发项目可申请不超过100万元的资助经费。</w:t>
      </w:r>
    </w:p>
    <w:p w14:paraId="4F636088">
      <w:pPr>
        <w:ind w:firstLine="640" w:firstLineChars="200"/>
        <w:rPr>
          <w:rFonts w:ascii="黑体" w:hAnsi="黑体" w:eastAsia="黑体" w:cs="黑体"/>
        </w:rPr>
      </w:pPr>
      <w:r>
        <w:rPr>
          <w:rFonts w:hint="eastAsia" w:ascii="黑体" w:hAnsi="黑体" w:eastAsia="黑体" w:cs="黑体"/>
        </w:rPr>
        <w:t>一、申报条件</w:t>
      </w:r>
    </w:p>
    <w:p w14:paraId="06B8CB92">
      <w:pPr>
        <w:wordWrap w:val="0"/>
        <w:spacing w:line="400" w:lineRule="exact"/>
        <w:ind w:firstLine="640" w:firstLineChars="200"/>
        <w:rPr>
          <w:rFonts w:ascii="仿宋_GB2312"/>
        </w:rPr>
      </w:pPr>
      <w:r>
        <w:rPr>
          <w:rFonts w:hint="eastAsia" w:ascii="仿宋_GB2312"/>
        </w:rPr>
        <w:t>（一）申报对象为2024年选认的团队（法人）科技特派员。</w:t>
      </w:r>
    </w:p>
    <w:p w14:paraId="50EE89BB">
      <w:pPr>
        <w:wordWrap w:val="0"/>
        <w:spacing w:line="400" w:lineRule="exact"/>
        <w:ind w:firstLine="640" w:firstLineChars="200"/>
        <w:rPr>
          <w:rFonts w:ascii="仿宋_GB2312"/>
        </w:rPr>
      </w:pPr>
      <w:r>
        <w:rPr>
          <w:rFonts w:hint="eastAsia" w:ascii="仿宋_GB2312"/>
        </w:rPr>
        <w:t>1.团队科技特派员原则上由服务对接单位为申报单位，团队科技特派员（或发起人所在）派出单位为项目合作单位。每一个团队科技特派员限报一项，项目负责人为团队科技特派员发起人。</w:t>
      </w:r>
    </w:p>
    <w:p w14:paraId="06E37062">
      <w:pPr>
        <w:wordWrap w:val="0"/>
        <w:spacing w:line="400" w:lineRule="exact"/>
        <w:ind w:firstLine="640" w:firstLineChars="200"/>
        <w:rPr>
          <w:rFonts w:ascii="仿宋_GB2312"/>
        </w:rPr>
      </w:pPr>
      <w:r>
        <w:rPr>
          <w:rFonts w:hint="eastAsia" w:ascii="仿宋_GB2312"/>
        </w:rPr>
        <w:t>2.法人科技特派员原则上由派出单位为申报单位，服务对接单位为项目合作单位。每一个法人科技特派员限报一项，项目负责人为法人科技特派员项目实际负责人。</w:t>
      </w:r>
    </w:p>
    <w:p w14:paraId="7ECC2058">
      <w:pPr>
        <w:wordWrap w:val="0"/>
        <w:spacing w:line="400" w:lineRule="exact"/>
        <w:ind w:firstLine="640" w:firstLineChars="200"/>
        <w:rPr>
          <w:rFonts w:ascii="仿宋_GB2312"/>
        </w:rPr>
      </w:pPr>
      <w:r>
        <w:rPr>
          <w:rFonts w:hint="eastAsia" w:ascii="仿宋_GB2312"/>
        </w:rPr>
        <w:t>3.项目负责人应同时是2024年选认的省级个人科技特派员。</w:t>
      </w:r>
    </w:p>
    <w:p w14:paraId="36DCFCD9">
      <w:pPr>
        <w:wordWrap w:val="0"/>
        <w:spacing w:line="400" w:lineRule="exact"/>
        <w:ind w:firstLine="640" w:firstLineChars="200"/>
        <w:rPr>
          <w:rFonts w:ascii="仿宋_GB2312"/>
        </w:rPr>
      </w:pPr>
      <w:r>
        <w:rPr>
          <w:rFonts w:hint="eastAsia" w:ascii="仿宋_GB2312"/>
        </w:rPr>
        <w:t>（二）申报项目应是2022年以来已经开展并取得成效的技术开发项目，优先支持进行了技术合同登记的项目。核心技术已获得省级财政资助的项目不得重复申请补助。</w:t>
      </w:r>
    </w:p>
    <w:p w14:paraId="0D0C6CF5">
      <w:pPr>
        <w:ind w:firstLine="640" w:firstLineChars="200"/>
        <w:rPr>
          <w:rFonts w:ascii="黑体" w:hAnsi="黑体" w:eastAsia="黑体" w:cs="黑体"/>
        </w:rPr>
      </w:pPr>
      <w:r>
        <w:rPr>
          <w:rFonts w:hint="eastAsia" w:ascii="黑体" w:hAnsi="黑体" w:eastAsia="黑体" w:cs="黑体"/>
        </w:rPr>
        <w:t>二、申报材料要求</w:t>
      </w:r>
    </w:p>
    <w:p w14:paraId="614E15A3">
      <w:pPr>
        <w:wordWrap w:val="0"/>
        <w:spacing w:line="400" w:lineRule="exact"/>
        <w:ind w:firstLine="640" w:firstLineChars="200"/>
        <w:rPr>
          <w:rFonts w:ascii="仿宋_GB2312"/>
        </w:rPr>
      </w:pPr>
      <w:r>
        <w:rPr>
          <w:rFonts w:hint="eastAsia" w:ascii="仿宋_GB2312"/>
        </w:rPr>
        <w:t>(一）网上填报《福建省科技特派员后补助项目申请书》，其中“申报后补助项目已取得的成效”内容要体现：1.科技特派员为对接单位或服务区域开展的研究开发与成果转化工作和双方的优势；2.项目所采取的主要研发措施及解决的关键技术，要有具体的研究开发和成果转化示范生产中的熟化对比研究过程；3.项目获得的技术成果、达到的技术指标和已实现的经济效益综述；4.阐述项目技术路线和关键技术的科学性、先进性和创新性；5.项目建立的示范面积、已推广面积、辐射农民、带动就业等社会效益情况；6.已投入经费及使用情况。</w:t>
      </w:r>
    </w:p>
    <w:p w14:paraId="73AB0F5D">
      <w:pPr>
        <w:wordWrap w:val="0"/>
        <w:spacing w:line="400" w:lineRule="exact"/>
        <w:ind w:firstLine="640" w:firstLineChars="200"/>
        <w:rPr>
          <w:rFonts w:ascii="仿宋_GB2312"/>
        </w:rPr>
      </w:pPr>
      <w:r>
        <w:rPr>
          <w:rFonts w:hint="eastAsia" w:ascii="仿宋_GB2312"/>
        </w:rPr>
        <w:t>（二）扫描上传申报项目已取得成效的相关佐证。</w:t>
      </w:r>
    </w:p>
    <w:p w14:paraId="34429CFE">
      <w:pPr>
        <w:wordWrap w:val="0"/>
        <w:spacing w:line="400" w:lineRule="exact"/>
        <w:ind w:firstLine="640" w:firstLineChars="200"/>
        <w:rPr>
          <w:rFonts w:ascii="仿宋_GB2312"/>
        </w:rPr>
      </w:pPr>
      <w:r>
        <w:rPr>
          <w:rFonts w:hint="eastAsia" w:ascii="仿宋_GB2312"/>
        </w:rPr>
        <w:t>1.技术指标佐证（如：示范基地证明、推广面积证明；由服务区域科技或行业主管部门出具的现场测产报告；有资质的第三方机构出具的产品测试或检测报告；评价证明等能反映技术指标的证明）；</w:t>
      </w:r>
    </w:p>
    <w:p w14:paraId="0839E1F0">
      <w:pPr>
        <w:wordWrap w:val="0"/>
        <w:spacing w:line="400" w:lineRule="exact"/>
        <w:ind w:firstLine="640" w:firstLineChars="200"/>
        <w:rPr>
          <w:rFonts w:ascii="仿宋_GB2312"/>
        </w:rPr>
      </w:pPr>
      <w:r>
        <w:rPr>
          <w:rFonts w:hint="eastAsia" w:ascii="仿宋_GB2312"/>
        </w:rPr>
        <w:t>2.经济效益佐证（包含但不限于销售明细帐、销售发票、合同、推广应用证明等能反映项目实施成效的证明)；</w:t>
      </w:r>
    </w:p>
    <w:p w14:paraId="2CA24017">
      <w:pPr>
        <w:wordWrap w:val="0"/>
        <w:spacing w:line="400" w:lineRule="exact"/>
        <w:ind w:firstLine="640" w:firstLineChars="200"/>
        <w:rPr>
          <w:rFonts w:ascii="仿宋_GB2312"/>
        </w:rPr>
      </w:pPr>
      <w:r>
        <w:rPr>
          <w:rFonts w:hint="eastAsia" w:ascii="仿宋_GB2312"/>
        </w:rPr>
        <w:t>3.技术成果佐证（如：专利证书、产品鉴定证书、新药证书、品种证书、软件产品登记与著作权登记证书、备案标准、专著和核心刊物发表的论文等能反映技术成果的证明）；</w:t>
      </w:r>
    </w:p>
    <w:p w14:paraId="2DC30E18">
      <w:pPr>
        <w:wordWrap w:val="0"/>
        <w:spacing w:line="400" w:lineRule="exact"/>
        <w:ind w:firstLine="640" w:firstLineChars="200"/>
        <w:rPr>
          <w:rFonts w:ascii="仿宋_GB2312"/>
        </w:rPr>
      </w:pPr>
      <w:r>
        <w:rPr>
          <w:rFonts w:hint="eastAsia" w:ascii="仿宋_GB2312"/>
        </w:rPr>
        <w:t>4.项目已有投资明细表（请到“福建省科技计划项目管理信息系统”首页相关下载栏目中下载）</w:t>
      </w:r>
      <w:r>
        <w:rPr>
          <w:rFonts w:hint="eastAsia"/>
        </w:rPr>
        <w:fldChar w:fldCharType="begin"/>
      </w:r>
      <w:r>
        <w:instrText xml:space="preserve"> HYPERLINK "http://xmgl.kjt.fujian.gov.cn/）及相关票据扫描件；" </w:instrText>
      </w:r>
      <w:r>
        <w:rPr>
          <w:rFonts w:hint="eastAsia"/>
        </w:rPr>
        <w:fldChar w:fldCharType="separate"/>
      </w:r>
      <w:r>
        <w:rPr>
          <w:rFonts w:hint="eastAsia" w:ascii="仿宋_GB2312"/>
        </w:rPr>
        <w:t>及相关票据扫描件；</w:t>
      </w:r>
      <w:r>
        <w:rPr>
          <w:rFonts w:hint="eastAsia" w:ascii="仿宋_GB2312"/>
        </w:rPr>
        <w:fldChar w:fldCharType="end"/>
      </w:r>
    </w:p>
    <w:p w14:paraId="00A13F2C">
      <w:pPr>
        <w:wordWrap w:val="0"/>
        <w:spacing w:line="400" w:lineRule="exact"/>
        <w:ind w:firstLine="640" w:firstLineChars="200"/>
        <w:rPr>
          <w:rFonts w:ascii="仿宋_GB2312"/>
        </w:rPr>
      </w:pPr>
      <w:r>
        <w:rPr>
          <w:rFonts w:hint="eastAsia" w:ascii="仿宋_GB2312"/>
        </w:rPr>
        <w:t>5.团队（法人）科特派服务对接企业（单位）的生产资质证明（如生产许可证、行业准入证书等）以及2022、2023、2024年度资产负债表、利润表（加盖企业财务章）；</w:t>
      </w:r>
    </w:p>
    <w:p w14:paraId="25D707E8">
      <w:pPr>
        <w:wordWrap w:val="0"/>
        <w:spacing w:line="400" w:lineRule="exact"/>
        <w:ind w:firstLine="640" w:firstLineChars="200"/>
        <w:rPr>
          <w:rFonts w:ascii="仿宋_GB2312"/>
        </w:rPr>
      </w:pPr>
      <w:r>
        <w:rPr>
          <w:rFonts w:hint="eastAsia" w:ascii="仿宋_GB2312"/>
        </w:rPr>
        <w:t>6.核心技术是否获省级财政资助情况说明；</w:t>
      </w:r>
    </w:p>
    <w:p w14:paraId="5E3FCF4D">
      <w:pPr>
        <w:wordWrap w:val="0"/>
        <w:spacing w:line="400" w:lineRule="exact"/>
        <w:ind w:firstLine="640" w:firstLineChars="200"/>
        <w:rPr>
          <w:rFonts w:ascii="仿宋_GB2312"/>
        </w:rPr>
      </w:pPr>
      <w:r>
        <w:rPr>
          <w:rFonts w:hint="eastAsia" w:ascii="仿宋_GB2312"/>
        </w:rPr>
        <w:t>7.2024年团队（法人）科技特派员证书、项目负责人的2024年个人科技特派员证书、福建省科技特派员三方协议书（团队科技特派员）或福建省科技特派员双方协议书（法人科技特派员）。双方、三方协议书的签章应为单位（企业）法人章。</w:t>
      </w:r>
    </w:p>
    <w:p w14:paraId="7F5A94DC">
      <w:pPr>
        <w:spacing w:line="600" w:lineRule="exact"/>
        <w:ind w:firstLine="640" w:firstLineChars="200"/>
        <w:rPr>
          <w:rFonts w:ascii="黑体" w:hAnsi="黑体" w:eastAsia="黑体" w:cs="黑体"/>
        </w:rPr>
      </w:pPr>
      <w:r>
        <w:rPr>
          <w:rFonts w:hint="eastAsia" w:ascii="黑体" w:hAnsi="黑体" w:eastAsia="黑体" w:cs="黑体"/>
        </w:rPr>
        <w:t>三、申报渠道与推荐数</w:t>
      </w:r>
    </w:p>
    <w:p w14:paraId="279E64B3">
      <w:pPr>
        <w:wordWrap w:val="0"/>
        <w:spacing w:line="400" w:lineRule="exact"/>
        <w:ind w:firstLine="640" w:firstLineChars="200"/>
        <w:rPr>
          <w:rFonts w:ascii="仿宋_GB2312"/>
        </w:rPr>
      </w:pPr>
      <w:r>
        <w:rPr>
          <w:rFonts w:hint="eastAsia" w:ascii="仿宋_GB2312"/>
        </w:rPr>
        <w:t>申报数不超过各设区市和平潭综合实验区、省直部门推荐选认的省级团队（法人）科技特派员数量的20%,小于1项的可限额推荐1项。设区市和平潭综合实验区科技特派员联席会议办公室（科技局）、高校和省直有关单位为推荐单位，负责推荐属地（部门）申报项目。</w:t>
      </w:r>
    </w:p>
    <w:p w14:paraId="563B3EF7">
      <w:pPr>
        <w:wordWrap w:val="0"/>
        <w:spacing w:line="400" w:lineRule="exact"/>
        <w:ind w:firstLine="640" w:firstLineChars="200"/>
        <w:rPr>
          <w:rFonts w:ascii="仿宋_GB2312"/>
        </w:rPr>
      </w:pPr>
    </w:p>
    <w:tbl>
      <w:tblPr>
        <w:tblStyle w:val="2"/>
        <w:tblW w:w="7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30"/>
        <w:gridCol w:w="3165"/>
      </w:tblGrid>
      <w:tr w14:paraId="75BDC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230" w:type="dxa"/>
            <w:noWrap w:val="0"/>
            <w:tcMar>
              <w:top w:w="0" w:type="dxa"/>
              <w:left w:w="108" w:type="dxa"/>
              <w:bottom w:w="0" w:type="dxa"/>
              <w:right w:w="108" w:type="dxa"/>
            </w:tcMar>
            <w:vAlign w:val="center"/>
          </w:tcPr>
          <w:p w14:paraId="5F78EB3A">
            <w:pPr>
              <w:widowControl/>
              <w:spacing w:line="240" w:lineRule="atLeast"/>
              <w:jc w:val="center"/>
              <w:rPr>
                <w:rFonts w:ascii="仿宋_GB2312" w:hAnsi="仿宋_GB2312" w:cs="仿宋_GB2312"/>
                <w:color w:val="000000"/>
                <w:kern w:val="0"/>
                <w:lang w:bidi="ar"/>
              </w:rPr>
            </w:pPr>
            <w:r>
              <w:rPr>
                <w:rFonts w:hint="eastAsia" w:ascii="仿宋_GB2312" w:hAnsi="仿宋_GB2312" w:cs="仿宋_GB2312"/>
                <w:b/>
                <w:bCs/>
                <w:color w:val="000000"/>
                <w:kern w:val="0"/>
              </w:rPr>
              <w:t>推荐单位</w:t>
            </w:r>
          </w:p>
        </w:tc>
        <w:tc>
          <w:tcPr>
            <w:tcW w:w="3165" w:type="dxa"/>
            <w:noWrap w:val="0"/>
            <w:tcMar>
              <w:top w:w="0" w:type="dxa"/>
              <w:left w:w="108" w:type="dxa"/>
              <w:bottom w:w="0" w:type="dxa"/>
              <w:right w:w="108" w:type="dxa"/>
            </w:tcMar>
            <w:vAlign w:val="center"/>
          </w:tcPr>
          <w:p w14:paraId="1FB0DFD1">
            <w:pPr>
              <w:widowControl/>
              <w:spacing w:line="240" w:lineRule="atLeast"/>
              <w:jc w:val="center"/>
              <w:rPr>
                <w:rFonts w:ascii="仿宋_GB2312" w:hAnsi="仿宋_GB2312" w:cs="仿宋_GB2312"/>
                <w:color w:val="000000"/>
                <w:kern w:val="0"/>
                <w:lang w:bidi="ar"/>
              </w:rPr>
            </w:pPr>
            <w:r>
              <w:rPr>
                <w:rFonts w:hint="eastAsia" w:ascii="仿宋_GB2312" w:hAnsi="仿宋_GB2312" w:cs="仿宋_GB2312"/>
                <w:b/>
                <w:bCs/>
                <w:color w:val="000000"/>
                <w:kern w:val="0"/>
              </w:rPr>
              <w:t>申报项目推荐数</w:t>
            </w:r>
          </w:p>
        </w:tc>
      </w:tr>
      <w:tr w14:paraId="60A9B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9" w:hRule="atLeast"/>
          <w:jc w:val="center"/>
        </w:trPr>
        <w:tc>
          <w:tcPr>
            <w:tcW w:w="4230" w:type="dxa"/>
            <w:vMerge w:val="restart"/>
            <w:noWrap w:val="0"/>
            <w:tcMar>
              <w:top w:w="0" w:type="dxa"/>
              <w:left w:w="108" w:type="dxa"/>
              <w:bottom w:w="0" w:type="dxa"/>
              <w:right w:w="108" w:type="dxa"/>
            </w:tcMar>
            <w:vAlign w:val="center"/>
          </w:tcPr>
          <w:p w14:paraId="454C4FD0">
            <w:pPr>
              <w:widowControl/>
              <w:spacing w:line="240" w:lineRule="atLeast"/>
              <w:jc w:val="center"/>
              <w:textAlignment w:val="center"/>
              <w:rPr>
                <w:rFonts w:ascii="仿宋_GB2312" w:hAnsi="仿宋_GB2312" w:cs="仿宋_GB2312"/>
                <w:b/>
                <w:bCs/>
                <w:color w:val="000000"/>
                <w:kern w:val="0"/>
                <w:sz w:val="30"/>
                <w:szCs w:val="30"/>
              </w:rPr>
            </w:pPr>
            <w:r>
              <w:rPr>
                <w:rFonts w:hint="eastAsia" w:ascii="仿宋_GB2312" w:hAnsi="仿宋_GB2312" w:cs="仿宋_GB2312"/>
                <w:color w:val="000000"/>
                <w:kern w:val="0"/>
                <w:sz w:val="30"/>
                <w:szCs w:val="30"/>
                <w:lang w:bidi="ar"/>
              </w:rPr>
              <w:t>福州市科技局</w:t>
            </w:r>
          </w:p>
        </w:tc>
        <w:tc>
          <w:tcPr>
            <w:tcW w:w="3165" w:type="dxa"/>
            <w:vMerge w:val="restart"/>
            <w:noWrap w:val="0"/>
            <w:tcMar>
              <w:top w:w="0" w:type="dxa"/>
              <w:left w:w="108" w:type="dxa"/>
              <w:bottom w:w="0" w:type="dxa"/>
              <w:right w:w="108" w:type="dxa"/>
            </w:tcMar>
            <w:vAlign w:val="center"/>
          </w:tcPr>
          <w:p w14:paraId="6746921E">
            <w:pPr>
              <w:widowControl/>
              <w:spacing w:line="240" w:lineRule="atLeast"/>
              <w:jc w:val="center"/>
              <w:textAlignment w:val="center"/>
              <w:rPr>
                <w:rFonts w:ascii="仿宋_GB2312" w:hAnsi="仿宋_GB2312" w:cs="仿宋_GB2312"/>
                <w:color w:val="000000"/>
                <w:kern w:val="0"/>
                <w:sz w:val="30"/>
                <w:szCs w:val="30"/>
                <w:lang w:bidi="ar"/>
              </w:rPr>
            </w:pPr>
            <w:r>
              <w:rPr>
                <w:rFonts w:hint="eastAsia" w:ascii="仿宋_GB2312" w:hAnsi="仿宋_GB2312" w:cs="仿宋_GB2312"/>
                <w:color w:val="000000"/>
                <w:kern w:val="0"/>
                <w:sz w:val="30"/>
                <w:szCs w:val="30"/>
                <w:lang w:bidi="ar"/>
              </w:rPr>
              <w:t>18</w:t>
            </w:r>
          </w:p>
        </w:tc>
      </w:tr>
      <w:tr w14:paraId="27700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9" w:hRule="atLeast"/>
          <w:jc w:val="center"/>
        </w:trPr>
        <w:tc>
          <w:tcPr>
            <w:tcW w:w="4230" w:type="dxa"/>
            <w:vMerge w:val="continue"/>
            <w:noWrap w:val="0"/>
            <w:vAlign w:val="center"/>
          </w:tcPr>
          <w:p w14:paraId="3F711B68">
            <w:pPr>
              <w:widowControl/>
              <w:spacing w:line="240" w:lineRule="atLeast"/>
              <w:jc w:val="left"/>
              <w:rPr>
                <w:rFonts w:ascii="仿宋_GB2312" w:hAnsi="仿宋_GB2312" w:cs="仿宋_GB2312"/>
                <w:color w:val="000000"/>
                <w:kern w:val="0"/>
                <w:sz w:val="30"/>
                <w:szCs w:val="30"/>
              </w:rPr>
            </w:pPr>
          </w:p>
        </w:tc>
        <w:tc>
          <w:tcPr>
            <w:tcW w:w="3165" w:type="dxa"/>
            <w:vMerge w:val="continue"/>
            <w:noWrap w:val="0"/>
            <w:vAlign w:val="center"/>
          </w:tcPr>
          <w:p w14:paraId="7FB92BAF">
            <w:pPr>
              <w:widowControl/>
              <w:spacing w:line="240" w:lineRule="atLeast"/>
              <w:jc w:val="center"/>
              <w:textAlignment w:val="center"/>
              <w:rPr>
                <w:rFonts w:ascii="仿宋_GB2312" w:hAnsi="仿宋_GB2312" w:cs="仿宋_GB2312"/>
                <w:color w:val="000000"/>
                <w:kern w:val="0"/>
                <w:sz w:val="30"/>
                <w:szCs w:val="30"/>
                <w:lang w:bidi="ar"/>
              </w:rPr>
            </w:pPr>
          </w:p>
        </w:tc>
      </w:tr>
      <w:tr w14:paraId="7E4F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230" w:type="dxa"/>
            <w:noWrap w:val="0"/>
            <w:tcMar>
              <w:top w:w="0" w:type="dxa"/>
              <w:left w:w="108" w:type="dxa"/>
              <w:bottom w:w="0" w:type="dxa"/>
              <w:right w:w="108" w:type="dxa"/>
            </w:tcMar>
            <w:vAlign w:val="center"/>
          </w:tcPr>
          <w:p w14:paraId="685E8BF8">
            <w:pPr>
              <w:widowControl/>
              <w:spacing w:line="240" w:lineRule="atLeast"/>
              <w:jc w:val="center"/>
              <w:textAlignment w:val="center"/>
              <w:rPr>
                <w:rFonts w:ascii="仿宋_GB2312" w:hAnsi="仿宋_GB2312" w:cs="仿宋_GB2312"/>
                <w:color w:val="000000"/>
                <w:kern w:val="0"/>
                <w:sz w:val="30"/>
                <w:szCs w:val="30"/>
              </w:rPr>
            </w:pPr>
            <w:r>
              <w:rPr>
                <w:rFonts w:hint="eastAsia" w:ascii="仿宋_GB2312" w:hAnsi="仿宋_GB2312" w:cs="仿宋_GB2312"/>
                <w:color w:val="000000"/>
                <w:kern w:val="0"/>
                <w:sz w:val="30"/>
                <w:szCs w:val="30"/>
                <w:lang w:bidi="ar"/>
              </w:rPr>
              <w:t>莆田市科技局</w:t>
            </w:r>
          </w:p>
        </w:tc>
        <w:tc>
          <w:tcPr>
            <w:tcW w:w="3165" w:type="dxa"/>
            <w:noWrap w:val="0"/>
            <w:tcMar>
              <w:top w:w="0" w:type="dxa"/>
              <w:left w:w="108" w:type="dxa"/>
              <w:bottom w:w="0" w:type="dxa"/>
              <w:right w:w="108" w:type="dxa"/>
            </w:tcMar>
            <w:vAlign w:val="bottom"/>
          </w:tcPr>
          <w:p w14:paraId="744A6204">
            <w:pPr>
              <w:widowControl/>
              <w:spacing w:line="240" w:lineRule="atLeast"/>
              <w:jc w:val="center"/>
              <w:textAlignment w:val="center"/>
              <w:rPr>
                <w:rFonts w:ascii="仿宋_GB2312" w:hAnsi="仿宋_GB2312" w:cs="仿宋_GB2312"/>
                <w:color w:val="000000"/>
                <w:kern w:val="0"/>
                <w:sz w:val="30"/>
                <w:szCs w:val="30"/>
                <w:lang w:bidi="ar"/>
              </w:rPr>
            </w:pPr>
            <w:r>
              <w:rPr>
                <w:rFonts w:hint="eastAsia" w:ascii="仿宋_GB2312" w:hAnsi="仿宋_GB2312" w:cs="仿宋_GB2312"/>
                <w:color w:val="000000"/>
                <w:kern w:val="0"/>
                <w:sz w:val="30"/>
                <w:szCs w:val="30"/>
                <w:lang w:bidi="ar"/>
              </w:rPr>
              <w:t>17</w:t>
            </w:r>
          </w:p>
        </w:tc>
      </w:tr>
      <w:tr w14:paraId="49859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230" w:type="dxa"/>
            <w:noWrap w:val="0"/>
            <w:tcMar>
              <w:top w:w="0" w:type="dxa"/>
              <w:left w:w="108" w:type="dxa"/>
              <w:bottom w:w="0" w:type="dxa"/>
              <w:right w:w="108" w:type="dxa"/>
            </w:tcMar>
            <w:vAlign w:val="center"/>
          </w:tcPr>
          <w:p w14:paraId="0B2771F7">
            <w:pPr>
              <w:widowControl/>
              <w:spacing w:line="240" w:lineRule="atLeast"/>
              <w:jc w:val="center"/>
              <w:textAlignment w:val="center"/>
              <w:rPr>
                <w:rFonts w:ascii="仿宋_GB2312" w:hAnsi="仿宋_GB2312" w:cs="仿宋_GB2312"/>
                <w:color w:val="000000"/>
                <w:kern w:val="0"/>
                <w:sz w:val="30"/>
                <w:szCs w:val="30"/>
              </w:rPr>
            </w:pPr>
            <w:r>
              <w:rPr>
                <w:rFonts w:hint="eastAsia" w:ascii="仿宋_GB2312" w:hAnsi="仿宋_GB2312" w:cs="仿宋_GB2312"/>
                <w:color w:val="000000"/>
                <w:kern w:val="0"/>
                <w:sz w:val="30"/>
                <w:szCs w:val="30"/>
                <w:lang w:bidi="ar"/>
              </w:rPr>
              <w:t>泉州市科技局</w:t>
            </w:r>
          </w:p>
        </w:tc>
        <w:tc>
          <w:tcPr>
            <w:tcW w:w="3165" w:type="dxa"/>
            <w:noWrap w:val="0"/>
            <w:tcMar>
              <w:top w:w="0" w:type="dxa"/>
              <w:left w:w="108" w:type="dxa"/>
              <w:bottom w:w="0" w:type="dxa"/>
              <w:right w:w="108" w:type="dxa"/>
            </w:tcMar>
            <w:vAlign w:val="center"/>
          </w:tcPr>
          <w:p w14:paraId="7423BF11">
            <w:pPr>
              <w:widowControl/>
              <w:spacing w:line="240" w:lineRule="atLeast"/>
              <w:jc w:val="center"/>
              <w:textAlignment w:val="center"/>
              <w:rPr>
                <w:rFonts w:ascii="仿宋_GB2312" w:hAnsi="仿宋_GB2312" w:cs="仿宋_GB2312"/>
                <w:color w:val="000000"/>
                <w:kern w:val="0"/>
                <w:sz w:val="30"/>
                <w:szCs w:val="30"/>
                <w:lang w:bidi="ar"/>
              </w:rPr>
            </w:pPr>
            <w:r>
              <w:rPr>
                <w:rFonts w:hint="eastAsia" w:ascii="仿宋_GB2312" w:hAnsi="仿宋_GB2312" w:cs="仿宋_GB2312"/>
                <w:color w:val="000000"/>
                <w:kern w:val="0"/>
                <w:sz w:val="30"/>
                <w:szCs w:val="30"/>
                <w:lang w:bidi="ar"/>
              </w:rPr>
              <w:t>18</w:t>
            </w:r>
          </w:p>
        </w:tc>
      </w:tr>
      <w:tr w14:paraId="5FA2B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230" w:type="dxa"/>
            <w:noWrap w:val="0"/>
            <w:tcMar>
              <w:top w:w="0" w:type="dxa"/>
              <w:left w:w="108" w:type="dxa"/>
              <w:bottom w:w="0" w:type="dxa"/>
              <w:right w:w="108" w:type="dxa"/>
            </w:tcMar>
            <w:vAlign w:val="center"/>
          </w:tcPr>
          <w:p w14:paraId="46FBC85E">
            <w:pPr>
              <w:widowControl/>
              <w:spacing w:line="240" w:lineRule="atLeast"/>
              <w:jc w:val="center"/>
              <w:textAlignment w:val="center"/>
              <w:rPr>
                <w:rFonts w:ascii="仿宋_GB2312" w:hAnsi="仿宋_GB2312" w:cs="仿宋_GB2312"/>
                <w:color w:val="000000"/>
                <w:kern w:val="0"/>
                <w:sz w:val="30"/>
                <w:szCs w:val="30"/>
              </w:rPr>
            </w:pPr>
            <w:r>
              <w:rPr>
                <w:rFonts w:hint="eastAsia" w:ascii="仿宋_GB2312" w:hAnsi="仿宋_GB2312" w:cs="仿宋_GB2312"/>
                <w:color w:val="000000"/>
                <w:kern w:val="0"/>
                <w:sz w:val="30"/>
                <w:szCs w:val="30"/>
                <w:lang w:bidi="ar"/>
              </w:rPr>
              <w:t>漳州市科技局</w:t>
            </w:r>
          </w:p>
        </w:tc>
        <w:tc>
          <w:tcPr>
            <w:tcW w:w="3165" w:type="dxa"/>
            <w:noWrap w:val="0"/>
            <w:tcMar>
              <w:top w:w="0" w:type="dxa"/>
              <w:left w:w="108" w:type="dxa"/>
              <w:bottom w:w="0" w:type="dxa"/>
              <w:right w:w="108" w:type="dxa"/>
            </w:tcMar>
            <w:vAlign w:val="center"/>
          </w:tcPr>
          <w:p w14:paraId="6CC35BF2">
            <w:pPr>
              <w:widowControl/>
              <w:spacing w:line="240" w:lineRule="atLeast"/>
              <w:jc w:val="center"/>
              <w:textAlignment w:val="center"/>
              <w:rPr>
                <w:rFonts w:ascii="仿宋_GB2312" w:hAnsi="仿宋_GB2312" w:cs="仿宋_GB2312"/>
                <w:color w:val="000000"/>
                <w:kern w:val="0"/>
                <w:sz w:val="30"/>
                <w:szCs w:val="30"/>
                <w:lang w:bidi="ar"/>
              </w:rPr>
            </w:pPr>
            <w:r>
              <w:rPr>
                <w:rFonts w:hint="eastAsia" w:ascii="仿宋_GB2312" w:hAnsi="仿宋_GB2312" w:cs="仿宋_GB2312"/>
                <w:color w:val="000000"/>
                <w:kern w:val="0"/>
                <w:sz w:val="30"/>
                <w:szCs w:val="30"/>
                <w:lang w:bidi="ar"/>
              </w:rPr>
              <w:t>20</w:t>
            </w:r>
          </w:p>
        </w:tc>
      </w:tr>
      <w:tr w14:paraId="0DD7E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230" w:type="dxa"/>
            <w:noWrap w:val="0"/>
            <w:tcMar>
              <w:top w:w="0" w:type="dxa"/>
              <w:left w:w="108" w:type="dxa"/>
              <w:bottom w:w="0" w:type="dxa"/>
              <w:right w:w="108" w:type="dxa"/>
            </w:tcMar>
            <w:vAlign w:val="center"/>
          </w:tcPr>
          <w:p w14:paraId="6CEB8510">
            <w:pPr>
              <w:widowControl/>
              <w:spacing w:line="240" w:lineRule="atLeast"/>
              <w:jc w:val="center"/>
              <w:textAlignment w:val="center"/>
              <w:rPr>
                <w:rFonts w:ascii="仿宋_GB2312" w:hAnsi="仿宋_GB2312" w:cs="仿宋_GB2312"/>
                <w:color w:val="000000"/>
                <w:kern w:val="0"/>
                <w:sz w:val="30"/>
                <w:szCs w:val="30"/>
              </w:rPr>
            </w:pPr>
            <w:r>
              <w:rPr>
                <w:rFonts w:hint="eastAsia" w:ascii="仿宋_GB2312" w:hAnsi="仿宋_GB2312" w:cs="仿宋_GB2312"/>
                <w:color w:val="000000"/>
                <w:kern w:val="0"/>
                <w:sz w:val="30"/>
                <w:szCs w:val="30"/>
                <w:lang w:bidi="ar"/>
              </w:rPr>
              <w:t>龙岩市科技局</w:t>
            </w:r>
          </w:p>
        </w:tc>
        <w:tc>
          <w:tcPr>
            <w:tcW w:w="3165" w:type="dxa"/>
            <w:noWrap w:val="0"/>
            <w:tcMar>
              <w:top w:w="0" w:type="dxa"/>
              <w:left w:w="108" w:type="dxa"/>
              <w:bottom w:w="0" w:type="dxa"/>
              <w:right w:w="108" w:type="dxa"/>
            </w:tcMar>
            <w:vAlign w:val="center"/>
          </w:tcPr>
          <w:p w14:paraId="6F838109">
            <w:pPr>
              <w:widowControl/>
              <w:spacing w:line="240" w:lineRule="atLeast"/>
              <w:jc w:val="center"/>
              <w:textAlignment w:val="center"/>
              <w:rPr>
                <w:rFonts w:ascii="仿宋_GB2312" w:hAnsi="仿宋_GB2312" w:cs="仿宋_GB2312"/>
                <w:color w:val="000000"/>
                <w:kern w:val="0"/>
                <w:sz w:val="30"/>
                <w:szCs w:val="30"/>
                <w:lang w:bidi="ar"/>
              </w:rPr>
            </w:pPr>
            <w:r>
              <w:rPr>
                <w:rFonts w:hint="eastAsia" w:ascii="仿宋_GB2312" w:hAnsi="仿宋_GB2312" w:cs="仿宋_GB2312"/>
                <w:color w:val="000000"/>
                <w:kern w:val="0"/>
                <w:sz w:val="30"/>
                <w:szCs w:val="30"/>
                <w:lang w:bidi="ar"/>
              </w:rPr>
              <w:t>19</w:t>
            </w:r>
          </w:p>
        </w:tc>
      </w:tr>
      <w:tr w14:paraId="5C3AB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230" w:type="dxa"/>
            <w:noWrap w:val="0"/>
            <w:tcMar>
              <w:top w:w="0" w:type="dxa"/>
              <w:left w:w="108" w:type="dxa"/>
              <w:bottom w:w="0" w:type="dxa"/>
              <w:right w:w="108" w:type="dxa"/>
            </w:tcMar>
            <w:vAlign w:val="center"/>
          </w:tcPr>
          <w:p w14:paraId="3DBBA50A">
            <w:pPr>
              <w:widowControl/>
              <w:spacing w:line="240" w:lineRule="atLeast"/>
              <w:jc w:val="center"/>
              <w:textAlignment w:val="center"/>
              <w:rPr>
                <w:rFonts w:ascii="仿宋_GB2312" w:hAnsi="仿宋_GB2312" w:cs="仿宋_GB2312"/>
                <w:color w:val="000000"/>
                <w:kern w:val="0"/>
                <w:sz w:val="30"/>
                <w:szCs w:val="30"/>
              </w:rPr>
            </w:pPr>
            <w:r>
              <w:rPr>
                <w:rFonts w:hint="eastAsia" w:ascii="仿宋_GB2312" w:hAnsi="仿宋_GB2312" w:cs="仿宋_GB2312"/>
                <w:color w:val="000000"/>
                <w:kern w:val="0"/>
                <w:sz w:val="30"/>
                <w:szCs w:val="30"/>
                <w:lang w:bidi="ar"/>
              </w:rPr>
              <w:t>三明市科技局</w:t>
            </w:r>
          </w:p>
        </w:tc>
        <w:tc>
          <w:tcPr>
            <w:tcW w:w="3165" w:type="dxa"/>
            <w:noWrap w:val="0"/>
            <w:tcMar>
              <w:top w:w="0" w:type="dxa"/>
              <w:left w:w="108" w:type="dxa"/>
              <w:bottom w:w="0" w:type="dxa"/>
              <w:right w:w="108" w:type="dxa"/>
            </w:tcMar>
            <w:vAlign w:val="bottom"/>
          </w:tcPr>
          <w:p w14:paraId="1C685163">
            <w:pPr>
              <w:widowControl/>
              <w:spacing w:line="240" w:lineRule="atLeast"/>
              <w:jc w:val="center"/>
              <w:textAlignment w:val="center"/>
              <w:rPr>
                <w:rFonts w:ascii="仿宋_GB2312" w:hAnsi="仿宋_GB2312" w:cs="仿宋_GB2312"/>
                <w:color w:val="000000"/>
                <w:kern w:val="0"/>
                <w:sz w:val="30"/>
                <w:szCs w:val="30"/>
                <w:lang w:bidi="ar"/>
              </w:rPr>
            </w:pPr>
            <w:r>
              <w:rPr>
                <w:rFonts w:hint="eastAsia" w:ascii="仿宋_GB2312" w:hAnsi="仿宋_GB2312" w:cs="仿宋_GB2312"/>
                <w:color w:val="000000"/>
                <w:kern w:val="0"/>
                <w:sz w:val="30"/>
                <w:szCs w:val="30"/>
                <w:lang w:bidi="ar"/>
              </w:rPr>
              <w:t>22</w:t>
            </w:r>
          </w:p>
        </w:tc>
      </w:tr>
      <w:tr w14:paraId="577FA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230" w:type="dxa"/>
            <w:noWrap w:val="0"/>
            <w:tcMar>
              <w:top w:w="0" w:type="dxa"/>
              <w:left w:w="108" w:type="dxa"/>
              <w:bottom w:w="0" w:type="dxa"/>
              <w:right w:w="108" w:type="dxa"/>
            </w:tcMar>
            <w:vAlign w:val="center"/>
          </w:tcPr>
          <w:p w14:paraId="2449935D">
            <w:pPr>
              <w:widowControl/>
              <w:spacing w:line="240" w:lineRule="atLeast"/>
              <w:jc w:val="center"/>
              <w:textAlignment w:val="center"/>
              <w:rPr>
                <w:rFonts w:ascii="仿宋_GB2312" w:hAnsi="仿宋_GB2312" w:cs="仿宋_GB2312"/>
                <w:color w:val="000000"/>
                <w:kern w:val="0"/>
                <w:sz w:val="30"/>
                <w:szCs w:val="30"/>
              </w:rPr>
            </w:pPr>
            <w:r>
              <w:rPr>
                <w:rFonts w:hint="eastAsia" w:ascii="仿宋_GB2312" w:hAnsi="仿宋_GB2312" w:cs="仿宋_GB2312"/>
                <w:color w:val="000000"/>
                <w:kern w:val="0"/>
                <w:sz w:val="30"/>
                <w:szCs w:val="30"/>
                <w:lang w:bidi="ar"/>
              </w:rPr>
              <w:t>南平市科技局</w:t>
            </w:r>
          </w:p>
        </w:tc>
        <w:tc>
          <w:tcPr>
            <w:tcW w:w="3165" w:type="dxa"/>
            <w:noWrap w:val="0"/>
            <w:tcMar>
              <w:top w:w="0" w:type="dxa"/>
              <w:left w:w="108" w:type="dxa"/>
              <w:bottom w:w="0" w:type="dxa"/>
              <w:right w:w="108" w:type="dxa"/>
            </w:tcMar>
            <w:vAlign w:val="center"/>
          </w:tcPr>
          <w:p w14:paraId="1870BF6B">
            <w:pPr>
              <w:widowControl/>
              <w:spacing w:line="240" w:lineRule="atLeast"/>
              <w:jc w:val="center"/>
              <w:textAlignment w:val="center"/>
              <w:rPr>
                <w:rFonts w:ascii="仿宋_GB2312" w:hAnsi="仿宋_GB2312" w:cs="仿宋_GB2312"/>
                <w:color w:val="000000"/>
                <w:kern w:val="0"/>
                <w:sz w:val="30"/>
                <w:szCs w:val="30"/>
                <w:lang w:bidi="ar"/>
              </w:rPr>
            </w:pPr>
            <w:r>
              <w:rPr>
                <w:rFonts w:hint="eastAsia" w:ascii="仿宋_GB2312" w:hAnsi="仿宋_GB2312" w:cs="仿宋_GB2312"/>
                <w:color w:val="000000"/>
                <w:kern w:val="0"/>
                <w:sz w:val="30"/>
                <w:szCs w:val="30"/>
                <w:lang w:bidi="ar"/>
              </w:rPr>
              <w:t>29</w:t>
            </w:r>
          </w:p>
        </w:tc>
      </w:tr>
      <w:tr w14:paraId="49F85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230" w:type="dxa"/>
            <w:noWrap w:val="0"/>
            <w:tcMar>
              <w:top w:w="0" w:type="dxa"/>
              <w:left w:w="108" w:type="dxa"/>
              <w:bottom w:w="0" w:type="dxa"/>
              <w:right w:w="108" w:type="dxa"/>
            </w:tcMar>
            <w:vAlign w:val="center"/>
          </w:tcPr>
          <w:p w14:paraId="57D4D871">
            <w:pPr>
              <w:widowControl/>
              <w:spacing w:line="240" w:lineRule="atLeast"/>
              <w:jc w:val="center"/>
              <w:textAlignment w:val="center"/>
              <w:rPr>
                <w:rFonts w:ascii="仿宋_GB2312" w:hAnsi="仿宋_GB2312" w:cs="仿宋_GB2312"/>
                <w:color w:val="000000"/>
                <w:kern w:val="0"/>
                <w:sz w:val="30"/>
                <w:szCs w:val="30"/>
              </w:rPr>
            </w:pPr>
            <w:r>
              <w:rPr>
                <w:rFonts w:hint="eastAsia" w:ascii="仿宋_GB2312" w:hAnsi="仿宋_GB2312" w:cs="仿宋_GB2312"/>
                <w:color w:val="000000"/>
                <w:kern w:val="0"/>
                <w:sz w:val="30"/>
                <w:szCs w:val="30"/>
                <w:lang w:bidi="ar"/>
              </w:rPr>
              <w:t>宁德市科技局</w:t>
            </w:r>
          </w:p>
        </w:tc>
        <w:tc>
          <w:tcPr>
            <w:tcW w:w="3165" w:type="dxa"/>
            <w:noWrap w:val="0"/>
            <w:tcMar>
              <w:top w:w="0" w:type="dxa"/>
              <w:left w:w="108" w:type="dxa"/>
              <w:bottom w:w="0" w:type="dxa"/>
              <w:right w:w="108" w:type="dxa"/>
            </w:tcMar>
            <w:vAlign w:val="center"/>
          </w:tcPr>
          <w:p w14:paraId="50E75E34">
            <w:pPr>
              <w:widowControl/>
              <w:spacing w:line="240" w:lineRule="atLeast"/>
              <w:jc w:val="center"/>
              <w:textAlignment w:val="center"/>
              <w:rPr>
                <w:rFonts w:ascii="仿宋_GB2312" w:hAnsi="仿宋_GB2312" w:cs="仿宋_GB2312"/>
                <w:color w:val="000000"/>
                <w:kern w:val="0"/>
                <w:sz w:val="30"/>
                <w:szCs w:val="30"/>
                <w:lang w:bidi="ar"/>
              </w:rPr>
            </w:pPr>
            <w:r>
              <w:rPr>
                <w:rFonts w:hint="eastAsia" w:ascii="仿宋_GB2312" w:hAnsi="仿宋_GB2312" w:cs="仿宋_GB2312"/>
                <w:color w:val="000000"/>
                <w:kern w:val="0"/>
                <w:sz w:val="30"/>
                <w:szCs w:val="30"/>
                <w:lang w:bidi="ar"/>
              </w:rPr>
              <w:t>15</w:t>
            </w:r>
          </w:p>
        </w:tc>
      </w:tr>
      <w:tr w14:paraId="083AD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230" w:type="dxa"/>
            <w:noWrap w:val="0"/>
            <w:tcMar>
              <w:top w:w="0" w:type="dxa"/>
              <w:left w:w="108" w:type="dxa"/>
              <w:bottom w:w="0" w:type="dxa"/>
              <w:right w:w="108" w:type="dxa"/>
            </w:tcMar>
            <w:vAlign w:val="center"/>
          </w:tcPr>
          <w:p w14:paraId="03BE734D">
            <w:pPr>
              <w:widowControl/>
              <w:spacing w:line="240" w:lineRule="atLeast"/>
              <w:jc w:val="center"/>
              <w:textAlignment w:val="center"/>
              <w:rPr>
                <w:rFonts w:ascii="仿宋_GB2312" w:hAnsi="仿宋_GB2312" w:cs="仿宋_GB2312"/>
                <w:color w:val="000000"/>
                <w:kern w:val="0"/>
                <w:sz w:val="30"/>
                <w:szCs w:val="30"/>
              </w:rPr>
            </w:pPr>
            <w:r>
              <w:rPr>
                <w:rFonts w:hint="eastAsia" w:ascii="仿宋_GB2312" w:hAnsi="仿宋_GB2312" w:cs="仿宋_GB2312"/>
                <w:color w:val="000000"/>
                <w:kern w:val="0"/>
                <w:sz w:val="30"/>
                <w:szCs w:val="30"/>
                <w:lang w:bidi="ar"/>
              </w:rPr>
              <w:t>平潭综合实验区</w:t>
            </w:r>
          </w:p>
        </w:tc>
        <w:tc>
          <w:tcPr>
            <w:tcW w:w="3165" w:type="dxa"/>
            <w:noWrap w:val="0"/>
            <w:tcMar>
              <w:top w:w="0" w:type="dxa"/>
              <w:left w:w="108" w:type="dxa"/>
              <w:bottom w:w="0" w:type="dxa"/>
              <w:right w:w="108" w:type="dxa"/>
            </w:tcMar>
            <w:vAlign w:val="center"/>
          </w:tcPr>
          <w:p w14:paraId="42D2AE6A">
            <w:pPr>
              <w:widowControl/>
              <w:spacing w:line="240" w:lineRule="atLeast"/>
              <w:jc w:val="center"/>
              <w:textAlignment w:val="center"/>
              <w:rPr>
                <w:rFonts w:ascii="仿宋_GB2312" w:hAnsi="仿宋_GB2312" w:cs="仿宋_GB2312"/>
                <w:color w:val="000000"/>
                <w:kern w:val="0"/>
                <w:sz w:val="30"/>
                <w:szCs w:val="30"/>
                <w:lang w:bidi="ar"/>
              </w:rPr>
            </w:pPr>
            <w:r>
              <w:rPr>
                <w:rFonts w:hint="eastAsia" w:ascii="仿宋_GB2312" w:hAnsi="仿宋_GB2312" w:cs="仿宋_GB2312"/>
                <w:color w:val="000000"/>
                <w:kern w:val="0"/>
                <w:sz w:val="30"/>
                <w:szCs w:val="30"/>
                <w:lang w:bidi="ar"/>
              </w:rPr>
              <w:t>2</w:t>
            </w:r>
          </w:p>
        </w:tc>
      </w:tr>
      <w:tr w14:paraId="05250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230" w:type="dxa"/>
            <w:noWrap w:val="0"/>
            <w:tcMar>
              <w:top w:w="0" w:type="dxa"/>
              <w:left w:w="108" w:type="dxa"/>
              <w:bottom w:w="0" w:type="dxa"/>
              <w:right w:w="108" w:type="dxa"/>
            </w:tcMar>
            <w:vAlign w:val="center"/>
          </w:tcPr>
          <w:p w14:paraId="40C8AEE9">
            <w:pPr>
              <w:widowControl/>
              <w:spacing w:line="240" w:lineRule="atLeast"/>
              <w:jc w:val="center"/>
              <w:textAlignment w:val="center"/>
              <w:rPr>
                <w:rFonts w:ascii="仿宋_GB2312" w:hAnsi="仿宋_GB2312" w:cs="仿宋_GB2312"/>
                <w:color w:val="000000"/>
                <w:kern w:val="0"/>
                <w:sz w:val="30"/>
                <w:szCs w:val="30"/>
                <w:lang w:bidi="ar"/>
              </w:rPr>
            </w:pPr>
            <w:r>
              <w:rPr>
                <w:rFonts w:hint="eastAsia" w:ascii="仿宋_GB2312" w:hAnsi="仿宋_GB2312" w:cs="仿宋_GB2312"/>
                <w:color w:val="000000"/>
                <w:kern w:val="0"/>
                <w:sz w:val="30"/>
                <w:szCs w:val="30"/>
                <w:lang w:bidi="ar"/>
              </w:rPr>
              <w:t>福建省市场监督管理局</w:t>
            </w:r>
          </w:p>
        </w:tc>
        <w:tc>
          <w:tcPr>
            <w:tcW w:w="3165" w:type="dxa"/>
            <w:noWrap w:val="0"/>
            <w:tcMar>
              <w:top w:w="0" w:type="dxa"/>
              <w:left w:w="108" w:type="dxa"/>
              <w:bottom w:w="0" w:type="dxa"/>
              <w:right w:w="108" w:type="dxa"/>
            </w:tcMar>
            <w:vAlign w:val="center"/>
          </w:tcPr>
          <w:p w14:paraId="69CAE303">
            <w:pPr>
              <w:widowControl/>
              <w:spacing w:line="240" w:lineRule="atLeast"/>
              <w:jc w:val="center"/>
              <w:textAlignment w:val="center"/>
              <w:rPr>
                <w:rFonts w:ascii="仿宋_GB2312" w:hAnsi="仿宋_GB2312" w:cs="仿宋_GB2312"/>
                <w:color w:val="000000"/>
                <w:kern w:val="0"/>
                <w:sz w:val="30"/>
                <w:szCs w:val="30"/>
                <w:lang w:bidi="ar"/>
              </w:rPr>
            </w:pPr>
            <w:r>
              <w:rPr>
                <w:rFonts w:hint="eastAsia" w:ascii="仿宋_GB2312" w:hAnsi="仿宋_GB2312" w:cs="仿宋_GB2312"/>
                <w:color w:val="000000"/>
                <w:kern w:val="0"/>
                <w:sz w:val="30"/>
                <w:szCs w:val="30"/>
                <w:lang w:bidi="ar"/>
              </w:rPr>
              <w:t>2</w:t>
            </w:r>
          </w:p>
        </w:tc>
      </w:tr>
      <w:tr w14:paraId="2D974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230" w:type="dxa"/>
            <w:noWrap w:val="0"/>
            <w:tcMar>
              <w:top w:w="0" w:type="dxa"/>
              <w:left w:w="108" w:type="dxa"/>
              <w:bottom w:w="0" w:type="dxa"/>
              <w:right w:w="108" w:type="dxa"/>
            </w:tcMar>
            <w:vAlign w:val="center"/>
          </w:tcPr>
          <w:p w14:paraId="2126CE3A">
            <w:pPr>
              <w:widowControl/>
              <w:spacing w:line="240" w:lineRule="atLeast"/>
              <w:jc w:val="center"/>
              <w:textAlignment w:val="center"/>
              <w:rPr>
                <w:rFonts w:ascii="仿宋_GB2312" w:hAnsi="仿宋_GB2312" w:cs="仿宋_GB2312"/>
                <w:color w:val="000000"/>
                <w:kern w:val="0"/>
                <w:sz w:val="30"/>
                <w:szCs w:val="30"/>
                <w:lang w:bidi="ar"/>
              </w:rPr>
            </w:pPr>
            <w:r>
              <w:rPr>
                <w:rFonts w:ascii="仿宋_GB2312" w:hAnsi="仿宋_GB2312" w:cs="仿宋_GB2312"/>
                <w:color w:val="000000"/>
                <w:kern w:val="0"/>
                <w:sz w:val="30"/>
                <w:szCs w:val="30"/>
                <w:lang w:bidi="ar"/>
              </w:rPr>
              <w:t>福建省林业局</w:t>
            </w:r>
          </w:p>
        </w:tc>
        <w:tc>
          <w:tcPr>
            <w:tcW w:w="3165" w:type="dxa"/>
            <w:noWrap w:val="0"/>
            <w:tcMar>
              <w:top w:w="0" w:type="dxa"/>
              <w:left w:w="108" w:type="dxa"/>
              <w:bottom w:w="0" w:type="dxa"/>
              <w:right w:w="108" w:type="dxa"/>
            </w:tcMar>
            <w:vAlign w:val="center"/>
          </w:tcPr>
          <w:p w14:paraId="67C6E1F6">
            <w:pPr>
              <w:widowControl/>
              <w:spacing w:line="240" w:lineRule="atLeast"/>
              <w:jc w:val="center"/>
              <w:textAlignment w:val="center"/>
              <w:rPr>
                <w:rFonts w:ascii="仿宋_GB2312" w:hAnsi="仿宋_GB2312" w:cs="仿宋_GB2312"/>
                <w:color w:val="000000"/>
                <w:kern w:val="0"/>
                <w:sz w:val="30"/>
                <w:szCs w:val="30"/>
                <w:lang w:bidi="ar"/>
              </w:rPr>
            </w:pPr>
            <w:r>
              <w:rPr>
                <w:rFonts w:hint="eastAsia" w:ascii="仿宋_GB2312" w:hAnsi="仿宋_GB2312" w:cs="仿宋_GB2312"/>
                <w:color w:val="000000"/>
                <w:kern w:val="0"/>
                <w:sz w:val="30"/>
                <w:szCs w:val="30"/>
                <w:lang w:bidi="ar"/>
              </w:rPr>
              <w:t>1</w:t>
            </w:r>
          </w:p>
        </w:tc>
      </w:tr>
      <w:tr w14:paraId="1A3AB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230" w:type="dxa"/>
            <w:noWrap w:val="0"/>
            <w:tcMar>
              <w:top w:w="0" w:type="dxa"/>
              <w:left w:w="108" w:type="dxa"/>
              <w:bottom w:w="0" w:type="dxa"/>
              <w:right w:w="108" w:type="dxa"/>
            </w:tcMar>
            <w:vAlign w:val="center"/>
          </w:tcPr>
          <w:p w14:paraId="12A6B142">
            <w:pPr>
              <w:widowControl/>
              <w:spacing w:line="240" w:lineRule="atLeast"/>
              <w:jc w:val="center"/>
              <w:textAlignment w:val="center"/>
              <w:rPr>
                <w:rFonts w:ascii="仿宋_GB2312" w:hAnsi="仿宋_GB2312" w:cs="仿宋_GB2312"/>
                <w:color w:val="000000"/>
                <w:kern w:val="0"/>
                <w:sz w:val="30"/>
                <w:szCs w:val="30"/>
                <w:lang w:bidi="ar"/>
              </w:rPr>
            </w:pPr>
            <w:r>
              <w:rPr>
                <w:rFonts w:ascii="仿宋_GB2312" w:hAnsi="仿宋_GB2312" w:cs="仿宋_GB2312"/>
                <w:color w:val="000000"/>
                <w:kern w:val="0"/>
                <w:sz w:val="30"/>
                <w:szCs w:val="30"/>
                <w:lang w:bidi="ar"/>
              </w:rPr>
              <w:t>福建省工业和信息化厅</w:t>
            </w:r>
          </w:p>
        </w:tc>
        <w:tc>
          <w:tcPr>
            <w:tcW w:w="3165" w:type="dxa"/>
            <w:noWrap w:val="0"/>
            <w:tcMar>
              <w:top w:w="0" w:type="dxa"/>
              <w:left w:w="108" w:type="dxa"/>
              <w:bottom w:w="0" w:type="dxa"/>
              <w:right w:w="108" w:type="dxa"/>
            </w:tcMar>
            <w:vAlign w:val="center"/>
          </w:tcPr>
          <w:p w14:paraId="3D502112">
            <w:pPr>
              <w:widowControl/>
              <w:spacing w:line="240" w:lineRule="atLeast"/>
              <w:jc w:val="center"/>
              <w:textAlignment w:val="center"/>
              <w:rPr>
                <w:rFonts w:ascii="仿宋_GB2312" w:hAnsi="仿宋_GB2312" w:cs="仿宋_GB2312"/>
                <w:color w:val="000000"/>
                <w:kern w:val="0"/>
                <w:sz w:val="30"/>
                <w:szCs w:val="30"/>
                <w:lang w:bidi="ar"/>
              </w:rPr>
            </w:pPr>
            <w:r>
              <w:rPr>
                <w:rFonts w:hint="eastAsia" w:ascii="仿宋_GB2312" w:hAnsi="仿宋_GB2312" w:cs="仿宋_GB2312"/>
                <w:color w:val="000000"/>
                <w:kern w:val="0"/>
                <w:sz w:val="30"/>
                <w:szCs w:val="30"/>
                <w:lang w:bidi="ar"/>
              </w:rPr>
              <w:t>1</w:t>
            </w:r>
          </w:p>
        </w:tc>
      </w:tr>
      <w:tr w14:paraId="09B47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230" w:type="dxa"/>
            <w:noWrap w:val="0"/>
            <w:tcMar>
              <w:top w:w="0" w:type="dxa"/>
              <w:left w:w="108" w:type="dxa"/>
              <w:bottom w:w="0" w:type="dxa"/>
              <w:right w:w="108" w:type="dxa"/>
            </w:tcMar>
            <w:vAlign w:val="center"/>
          </w:tcPr>
          <w:p w14:paraId="01ED3805">
            <w:pPr>
              <w:widowControl/>
              <w:spacing w:line="240" w:lineRule="atLeast"/>
              <w:jc w:val="center"/>
              <w:textAlignment w:val="center"/>
              <w:rPr>
                <w:rFonts w:ascii="仿宋_GB2312" w:hAnsi="仿宋_GB2312" w:cs="仿宋_GB2312"/>
                <w:color w:val="000000"/>
                <w:kern w:val="0"/>
                <w:sz w:val="30"/>
                <w:szCs w:val="30"/>
                <w:lang w:bidi="ar"/>
              </w:rPr>
            </w:pPr>
            <w:r>
              <w:rPr>
                <w:rFonts w:ascii="仿宋_GB2312" w:hAnsi="仿宋_GB2312" w:cs="仿宋_GB2312"/>
                <w:color w:val="000000"/>
                <w:kern w:val="0"/>
                <w:sz w:val="30"/>
                <w:szCs w:val="30"/>
                <w:lang w:bidi="ar"/>
              </w:rPr>
              <w:t>福建农林大学</w:t>
            </w:r>
          </w:p>
        </w:tc>
        <w:tc>
          <w:tcPr>
            <w:tcW w:w="3165" w:type="dxa"/>
            <w:noWrap w:val="0"/>
            <w:tcMar>
              <w:top w:w="0" w:type="dxa"/>
              <w:left w:w="108" w:type="dxa"/>
              <w:bottom w:w="0" w:type="dxa"/>
              <w:right w:w="108" w:type="dxa"/>
            </w:tcMar>
            <w:vAlign w:val="center"/>
          </w:tcPr>
          <w:p w14:paraId="54848787">
            <w:pPr>
              <w:widowControl/>
              <w:spacing w:line="240" w:lineRule="atLeast"/>
              <w:jc w:val="center"/>
              <w:textAlignment w:val="center"/>
              <w:rPr>
                <w:rFonts w:ascii="仿宋_GB2312" w:hAnsi="仿宋_GB2312" w:cs="仿宋_GB2312"/>
                <w:color w:val="000000"/>
                <w:kern w:val="0"/>
                <w:sz w:val="30"/>
                <w:szCs w:val="30"/>
                <w:lang w:bidi="ar"/>
              </w:rPr>
            </w:pPr>
            <w:r>
              <w:rPr>
                <w:rFonts w:hint="eastAsia" w:ascii="仿宋_GB2312" w:hAnsi="仿宋_GB2312" w:cs="仿宋_GB2312"/>
                <w:color w:val="000000"/>
                <w:kern w:val="0"/>
                <w:sz w:val="30"/>
                <w:szCs w:val="30"/>
                <w:lang w:bidi="ar"/>
              </w:rPr>
              <w:t>1</w:t>
            </w:r>
          </w:p>
        </w:tc>
      </w:tr>
      <w:tr w14:paraId="3493C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230" w:type="dxa"/>
            <w:noWrap w:val="0"/>
            <w:tcMar>
              <w:top w:w="0" w:type="dxa"/>
              <w:left w:w="108" w:type="dxa"/>
              <w:bottom w:w="0" w:type="dxa"/>
              <w:right w:w="108" w:type="dxa"/>
            </w:tcMar>
            <w:vAlign w:val="center"/>
          </w:tcPr>
          <w:p w14:paraId="60F6AABE">
            <w:pPr>
              <w:widowControl/>
              <w:spacing w:line="240" w:lineRule="atLeast"/>
              <w:jc w:val="center"/>
              <w:textAlignment w:val="center"/>
              <w:rPr>
                <w:rFonts w:ascii="仿宋_GB2312" w:hAnsi="仿宋_GB2312" w:cs="仿宋_GB2312"/>
                <w:color w:val="000000"/>
                <w:kern w:val="0"/>
                <w:sz w:val="30"/>
                <w:szCs w:val="30"/>
                <w:lang w:bidi="ar"/>
              </w:rPr>
            </w:pPr>
            <w:r>
              <w:rPr>
                <w:rFonts w:ascii="仿宋_GB2312" w:hAnsi="仿宋_GB2312" w:cs="仿宋_GB2312"/>
                <w:color w:val="000000"/>
                <w:kern w:val="0"/>
                <w:sz w:val="30"/>
                <w:szCs w:val="30"/>
                <w:lang w:bidi="ar"/>
              </w:rPr>
              <w:t>福建省农业科学院</w:t>
            </w:r>
          </w:p>
        </w:tc>
        <w:tc>
          <w:tcPr>
            <w:tcW w:w="3165" w:type="dxa"/>
            <w:noWrap w:val="0"/>
            <w:tcMar>
              <w:top w:w="0" w:type="dxa"/>
              <w:left w:w="108" w:type="dxa"/>
              <w:bottom w:w="0" w:type="dxa"/>
              <w:right w:w="108" w:type="dxa"/>
            </w:tcMar>
            <w:vAlign w:val="center"/>
          </w:tcPr>
          <w:p w14:paraId="67971569">
            <w:pPr>
              <w:widowControl/>
              <w:spacing w:line="240" w:lineRule="atLeast"/>
              <w:jc w:val="center"/>
              <w:textAlignment w:val="center"/>
              <w:rPr>
                <w:rFonts w:ascii="仿宋_GB2312" w:hAnsi="仿宋_GB2312" w:cs="仿宋_GB2312"/>
                <w:color w:val="000000"/>
                <w:kern w:val="0"/>
                <w:sz w:val="30"/>
                <w:szCs w:val="30"/>
                <w:lang w:bidi="ar"/>
              </w:rPr>
            </w:pPr>
            <w:r>
              <w:rPr>
                <w:rFonts w:hint="eastAsia" w:ascii="仿宋_GB2312" w:hAnsi="仿宋_GB2312" w:cs="仿宋_GB2312"/>
                <w:color w:val="000000"/>
                <w:kern w:val="0"/>
                <w:sz w:val="30"/>
                <w:szCs w:val="30"/>
                <w:lang w:bidi="ar"/>
              </w:rPr>
              <w:t>2</w:t>
            </w:r>
          </w:p>
        </w:tc>
      </w:tr>
      <w:tr w14:paraId="39F85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230" w:type="dxa"/>
            <w:noWrap w:val="0"/>
            <w:tcMar>
              <w:top w:w="0" w:type="dxa"/>
              <w:left w:w="108" w:type="dxa"/>
              <w:bottom w:w="0" w:type="dxa"/>
              <w:right w:w="108" w:type="dxa"/>
            </w:tcMar>
            <w:vAlign w:val="center"/>
          </w:tcPr>
          <w:p w14:paraId="68214D9B">
            <w:pPr>
              <w:widowControl/>
              <w:spacing w:line="240" w:lineRule="atLeast"/>
              <w:jc w:val="center"/>
              <w:textAlignment w:val="center"/>
              <w:rPr>
                <w:rFonts w:ascii="仿宋_GB2312" w:hAnsi="仿宋_GB2312" w:cs="仿宋_GB2312"/>
                <w:color w:val="000000"/>
                <w:kern w:val="0"/>
                <w:sz w:val="30"/>
                <w:szCs w:val="30"/>
                <w:lang w:bidi="ar"/>
              </w:rPr>
            </w:pPr>
            <w:r>
              <w:rPr>
                <w:rFonts w:ascii="仿宋_GB2312" w:hAnsi="仿宋_GB2312" w:cs="仿宋_GB2312"/>
                <w:color w:val="000000"/>
                <w:kern w:val="0"/>
                <w:sz w:val="30"/>
                <w:szCs w:val="30"/>
                <w:lang w:bidi="ar"/>
              </w:rPr>
              <w:t>福建中医药大学</w:t>
            </w:r>
          </w:p>
        </w:tc>
        <w:tc>
          <w:tcPr>
            <w:tcW w:w="3165" w:type="dxa"/>
            <w:noWrap w:val="0"/>
            <w:tcMar>
              <w:top w:w="0" w:type="dxa"/>
              <w:left w:w="108" w:type="dxa"/>
              <w:bottom w:w="0" w:type="dxa"/>
              <w:right w:w="108" w:type="dxa"/>
            </w:tcMar>
            <w:vAlign w:val="center"/>
          </w:tcPr>
          <w:p w14:paraId="51392743">
            <w:pPr>
              <w:widowControl/>
              <w:spacing w:line="240" w:lineRule="atLeast"/>
              <w:jc w:val="center"/>
              <w:textAlignment w:val="center"/>
              <w:rPr>
                <w:rFonts w:ascii="仿宋_GB2312" w:hAnsi="仿宋_GB2312" w:cs="仿宋_GB2312"/>
                <w:color w:val="000000"/>
                <w:kern w:val="0"/>
                <w:sz w:val="30"/>
                <w:szCs w:val="30"/>
                <w:lang w:bidi="ar"/>
              </w:rPr>
            </w:pPr>
            <w:r>
              <w:rPr>
                <w:rFonts w:hint="eastAsia" w:ascii="仿宋_GB2312" w:hAnsi="仿宋_GB2312" w:cs="仿宋_GB2312"/>
                <w:color w:val="000000"/>
                <w:kern w:val="0"/>
                <w:sz w:val="30"/>
                <w:szCs w:val="30"/>
                <w:lang w:bidi="ar"/>
              </w:rPr>
              <w:t>1</w:t>
            </w:r>
          </w:p>
        </w:tc>
      </w:tr>
      <w:tr w14:paraId="013FF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230" w:type="dxa"/>
            <w:noWrap w:val="0"/>
            <w:tcMar>
              <w:top w:w="0" w:type="dxa"/>
              <w:left w:w="108" w:type="dxa"/>
              <w:bottom w:w="0" w:type="dxa"/>
              <w:right w:w="108" w:type="dxa"/>
            </w:tcMar>
            <w:vAlign w:val="center"/>
          </w:tcPr>
          <w:p w14:paraId="390881DD">
            <w:pPr>
              <w:widowControl/>
              <w:spacing w:line="240" w:lineRule="atLeast"/>
              <w:jc w:val="center"/>
              <w:textAlignment w:val="center"/>
              <w:rPr>
                <w:rFonts w:ascii="仿宋_GB2312" w:hAnsi="仿宋_GB2312" w:cs="仿宋_GB2312"/>
                <w:color w:val="000000"/>
                <w:kern w:val="0"/>
                <w:sz w:val="30"/>
                <w:szCs w:val="30"/>
                <w:lang w:bidi="ar"/>
              </w:rPr>
            </w:pPr>
            <w:r>
              <w:rPr>
                <w:rFonts w:ascii="仿宋_GB2312" w:hAnsi="仿宋_GB2312" w:cs="仿宋_GB2312"/>
                <w:color w:val="000000"/>
                <w:kern w:val="0"/>
                <w:sz w:val="30"/>
                <w:szCs w:val="30"/>
                <w:lang w:bidi="ar"/>
              </w:rPr>
              <w:t>龙岩学院</w:t>
            </w:r>
          </w:p>
        </w:tc>
        <w:tc>
          <w:tcPr>
            <w:tcW w:w="3165" w:type="dxa"/>
            <w:noWrap w:val="0"/>
            <w:tcMar>
              <w:top w:w="0" w:type="dxa"/>
              <w:left w:w="108" w:type="dxa"/>
              <w:bottom w:w="0" w:type="dxa"/>
              <w:right w:w="108" w:type="dxa"/>
            </w:tcMar>
            <w:vAlign w:val="center"/>
          </w:tcPr>
          <w:p w14:paraId="286C9171">
            <w:pPr>
              <w:widowControl/>
              <w:spacing w:line="240" w:lineRule="atLeast"/>
              <w:jc w:val="center"/>
              <w:textAlignment w:val="center"/>
              <w:rPr>
                <w:rFonts w:ascii="仿宋_GB2312" w:hAnsi="仿宋_GB2312" w:cs="仿宋_GB2312"/>
                <w:color w:val="000000"/>
                <w:kern w:val="0"/>
                <w:sz w:val="30"/>
                <w:szCs w:val="30"/>
                <w:lang w:bidi="ar"/>
              </w:rPr>
            </w:pPr>
            <w:r>
              <w:rPr>
                <w:rFonts w:hint="eastAsia" w:ascii="仿宋_GB2312" w:hAnsi="仿宋_GB2312" w:cs="仿宋_GB2312"/>
                <w:color w:val="000000"/>
                <w:kern w:val="0"/>
                <w:sz w:val="30"/>
                <w:szCs w:val="30"/>
                <w:lang w:bidi="ar"/>
              </w:rPr>
              <w:t>1</w:t>
            </w:r>
          </w:p>
        </w:tc>
      </w:tr>
      <w:tr w14:paraId="183BD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230" w:type="dxa"/>
            <w:noWrap w:val="0"/>
            <w:tcMar>
              <w:top w:w="0" w:type="dxa"/>
              <w:left w:w="108" w:type="dxa"/>
              <w:bottom w:w="0" w:type="dxa"/>
              <w:right w:w="108" w:type="dxa"/>
            </w:tcMar>
            <w:vAlign w:val="center"/>
          </w:tcPr>
          <w:p w14:paraId="62FE6F88">
            <w:pPr>
              <w:widowControl/>
              <w:spacing w:line="240" w:lineRule="atLeast"/>
              <w:jc w:val="center"/>
              <w:textAlignment w:val="center"/>
              <w:rPr>
                <w:rFonts w:ascii="仿宋_GB2312" w:hAnsi="仿宋_GB2312" w:cs="仿宋_GB2312"/>
                <w:color w:val="000000"/>
                <w:kern w:val="0"/>
                <w:sz w:val="30"/>
                <w:szCs w:val="30"/>
                <w:lang w:bidi="ar"/>
              </w:rPr>
            </w:pPr>
            <w:r>
              <w:rPr>
                <w:rFonts w:ascii="仿宋_GB2312" w:hAnsi="仿宋_GB2312" w:cs="仿宋_GB2312"/>
                <w:color w:val="000000"/>
                <w:kern w:val="0"/>
                <w:sz w:val="30"/>
                <w:szCs w:val="30"/>
                <w:lang w:bidi="ar"/>
              </w:rPr>
              <w:t>宁德师范学院</w:t>
            </w:r>
          </w:p>
        </w:tc>
        <w:tc>
          <w:tcPr>
            <w:tcW w:w="3165" w:type="dxa"/>
            <w:noWrap w:val="0"/>
            <w:tcMar>
              <w:top w:w="0" w:type="dxa"/>
              <w:left w:w="108" w:type="dxa"/>
              <w:bottom w:w="0" w:type="dxa"/>
              <w:right w:w="108" w:type="dxa"/>
            </w:tcMar>
            <w:vAlign w:val="center"/>
          </w:tcPr>
          <w:p w14:paraId="20456EF5">
            <w:pPr>
              <w:widowControl/>
              <w:spacing w:line="240" w:lineRule="atLeast"/>
              <w:jc w:val="center"/>
              <w:textAlignment w:val="center"/>
              <w:rPr>
                <w:rFonts w:ascii="仿宋_GB2312" w:hAnsi="仿宋_GB2312" w:cs="仿宋_GB2312"/>
                <w:color w:val="000000"/>
                <w:kern w:val="0"/>
                <w:sz w:val="30"/>
                <w:szCs w:val="30"/>
                <w:lang w:bidi="ar"/>
              </w:rPr>
            </w:pPr>
            <w:r>
              <w:rPr>
                <w:rFonts w:hint="eastAsia" w:ascii="仿宋_GB2312" w:hAnsi="仿宋_GB2312" w:cs="仿宋_GB2312"/>
                <w:color w:val="000000"/>
                <w:kern w:val="0"/>
                <w:sz w:val="30"/>
                <w:szCs w:val="30"/>
                <w:lang w:bidi="ar"/>
              </w:rPr>
              <w:t>1</w:t>
            </w:r>
          </w:p>
        </w:tc>
      </w:tr>
      <w:tr w14:paraId="1525A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230" w:type="dxa"/>
            <w:noWrap w:val="0"/>
            <w:tcMar>
              <w:top w:w="0" w:type="dxa"/>
              <w:left w:w="108" w:type="dxa"/>
              <w:bottom w:w="0" w:type="dxa"/>
              <w:right w:w="108" w:type="dxa"/>
            </w:tcMar>
            <w:vAlign w:val="center"/>
          </w:tcPr>
          <w:p w14:paraId="3DD3E187">
            <w:pPr>
              <w:widowControl/>
              <w:spacing w:line="240" w:lineRule="atLeast"/>
              <w:jc w:val="center"/>
              <w:textAlignment w:val="center"/>
              <w:rPr>
                <w:rFonts w:ascii="仿宋_GB2312" w:hAnsi="仿宋_GB2312" w:cs="仿宋_GB2312"/>
                <w:color w:val="000000"/>
                <w:kern w:val="0"/>
                <w:sz w:val="30"/>
                <w:szCs w:val="30"/>
                <w:lang w:bidi="ar"/>
              </w:rPr>
            </w:pPr>
            <w:r>
              <w:rPr>
                <w:rFonts w:ascii="仿宋_GB2312" w:hAnsi="仿宋_GB2312" w:cs="仿宋_GB2312"/>
                <w:color w:val="000000"/>
                <w:kern w:val="0"/>
                <w:sz w:val="30"/>
                <w:szCs w:val="30"/>
                <w:lang w:bidi="ar"/>
              </w:rPr>
              <w:t>三明学院</w:t>
            </w:r>
          </w:p>
        </w:tc>
        <w:tc>
          <w:tcPr>
            <w:tcW w:w="3165" w:type="dxa"/>
            <w:noWrap w:val="0"/>
            <w:tcMar>
              <w:top w:w="0" w:type="dxa"/>
              <w:left w:w="108" w:type="dxa"/>
              <w:bottom w:w="0" w:type="dxa"/>
              <w:right w:w="108" w:type="dxa"/>
            </w:tcMar>
            <w:vAlign w:val="center"/>
          </w:tcPr>
          <w:p w14:paraId="102401FA">
            <w:pPr>
              <w:widowControl/>
              <w:spacing w:line="240" w:lineRule="atLeast"/>
              <w:jc w:val="center"/>
              <w:textAlignment w:val="center"/>
              <w:rPr>
                <w:rFonts w:ascii="仿宋_GB2312" w:hAnsi="仿宋_GB2312" w:cs="仿宋_GB2312"/>
                <w:color w:val="000000"/>
                <w:kern w:val="0"/>
                <w:sz w:val="30"/>
                <w:szCs w:val="30"/>
                <w:lang w:bidi="ar"/>
              </w:rPr>
            </w:pPr>
            <w:r>
              <w:rPr>
                <w:rFonts w:hint="eastAsia" w:ascii="仿宋_GB2312" w:hAnsi="仿宋_GB2312" w:cs="仿宋_GB2312"/>
                <w:color w:val="000000"/>
                <w:kern w:val="0"/>
                <w:sz w:val="30"/>
                <w:szCs w:val="30"/>
                <w:lang w:bidi="ar"/>
              </w:rPr>
              <w:t>1</w:t>
            </w:r>
          </w:p>
        </w:tc>
      </w:tr>
      <w:tr w14:paraId="60709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230" w:type="dxa"/>
            <w:noWrap w:val="0"/>
            <w:tcMar>
              <w:top w:w="0" w:type="dxa"/>
              <w:left w:w="108" w:type="dxa"/>
              <w:bottom w:w="0" w:type="dxa"/>
              <w:right w:w="108" w:type="dxa"/>
            </w:tcMar>
            <w:vAlign w:val="center"/>
          </w:tcPr>
          <w:p w14:paraId="1F4C190E">
            <w:pPr>
              <w:widowControl/>
              <w:spacing w:line="240" w:lineRule="atLeast"/>
              <w:jc w:val="center"/>
              <w:textAlignment w:val="center"/>
              <w:rPr>
                <w:rFonts w:ascii="仿宋_GB2312" w:hAnsi="仿宋_GB2312" w:cs="仿宋_GB2312"/>
                <w:color w:val="000000"/>
                <w:kern w:val="0"/>
                <w:sz w:val="30"/>
                <w:szCs w:val="30"/>
                <w:lang w:bidi="ar"/>
              </w:rPr>
            </w:pPr>
            <w:r>
              <w:rPr>
                <w:rFonts w:hint="eastAsia" w:ascii="仿宋_GB2312" w:hAnsi="仿宋_GB2312" w:cs="仿宋_GB2312"/>
                <w:color w:val="000000"/>
                <w:kern w:val="0"/>
                <w:sz w:val="30"/>
                <w:szCs w:val="30"/>
                <w:lang w:bidi="ar"/>
              </w:rPr>
              <w:t>合计</w:t>
            </w:r>
          </w:p>
        </w:tc>
        <w:tc>
          <w:tcPr>
            <w:tcW w:w="3165" w:type="dxa"/>
            <w:noWrap w:val="0"/>
            <w:tcMar>
              <w:top w:w="0" w:type="dxa"/>
              <w:left w:w="108" w:type="dxa"/>
              <w:bottom w:w="0" w:type="dxa"/>
              <w:right w:w="108" w:type="dxa"/>
            </w:tcMar>
            <w:vAlign w:val="center"/>
          </w:tcPr>
          <w:p w14:paraId="07BF5226">
            <w:pPr>
              <w:widowControl/>
              <w:spacing w:line="240" w:lineRule="atLeast"/>
              <w:jc w:val="center"/>
              <w:textAlignment w:val="center"/>
              <w:rPr>
                <w:rFonts w:ascii="仿宋_GB2312" w:hAnsi="仿宋_GB2312" w:cs="仿宋_GB2312"/>
                <w:color w:val="000000"/>
                <w:kern w:val="0"/>
                <w:sz w:val="30"/>
                <w:szCs w:val="30"/>
                <w:lang w:bidi="ar"/>
              </w:rPr>
            </w:pPr>
            <w:r>
              <w:rPr>
                <w:rFonts w:hint="eastAsia" w:ascii="仿宋_GB2312" w:hAnsi="仿宋_GB2312" w:cs="仿宋_GB2312"/>
                <w:color w:val="000000"/>
                <w:kern w:val="0"/>
                <w:sz w:val="30"/>
                <w:szCs w:val="30"/>
                <w:lang w:bidi="ar"/>
              </w:rPr>
              <w:t>171</w:t>
            </w:r>
          </w:p>
        </w:tc>
      </w:tr>
    </w:tbl>
    <w:p w14:paraId="76055653">
      <w:pPr>
        <w:wordWrap w:val="0"/>
        <w:spacing w:line="400" w:lineRule="exact"/>
        <w:ind w:firstLine="640" w:firstLineChars="200"/>
        <w:rPr>
          <w:rFonts w:ascii="仿宋_GB2312"/>
        </w:rPr>
      </w:pPr>
    </w:p>
    <w:p w14:paraId="657A13B6">
      <w:pPr>
        <w:spacing w:line="600" w:lineRule="exact"/>
        <w:ind w:firstLine="640" w:firstLineChars="200"/>
        <w:rPr>
          <w:rFonts w:ascii="黑体" w:hAnsi="黑体" w:eastAsia="黑体" w:cs="黑体"/>
        </w:rPr>
      </w:pPr>
      <w:r>
        <w:rPr>
          <w:rFonts w:hint="eastAsia" w:ascii="黑体" w:hAnsi="黑体" w:eastAsia="黑体" w:cs="黑体"/>
        </w:rPr>
        <w:t>四、申报、推荐时间与流程</w:t>
      </w:r>
    </w:p>
    <w:p w14:paraId="3722CDD7">
      <w:pPr>
        <w:wordWrap w:val="0"/>
        <w:spacing w:line="400" w:lineRule="exact"/>
        <w:ind w:firstLine="640" w:firstLineChars="200"/>
        <w:rPr>
          <w:rFonts w:ascii="仿宋_GB2312"/>
        </w:rPr>
      </w:pPr>
      <w:r>
        <w:rPr>
          <w:rFonts w:hint="eastAsia" w:ascii="仿宋_GB2312"/>
        </w:rPr>
        <w:t>（一）项目申报实行网上申报方式。网上申报流程为：申报单位注册登录福建省科技计划项目管理信息系统(xmgl.kjt.fujian.gov.cn)─申报管理─增加项目申请书─选择“科技特派员后补助项目”及对应指南代码─填报申请书─上传附件。</w:t>
      </w:r>
    </w:p>
    <w:p w14:paraId="157C1F70">
      <w:pPr>
        <w:wordWrap w:val="0"/>
        <w:spacing w:line="400" w:lineRule="exact"/>
        <w:ind w:firstLine="640" w:firstLineChars="200"/>
        <w:rPr>
          <w:rFonts w:ascii="仿宋_GB2312"/>
        </w:rPr>
      </w:pPr>
      <w:r>
        <w:rPr>
          <w:rFonts w:hint="eastAsia" w:ascii="仿宋_GB2312"/>
        </w:rPr>
        <w:t>（二）各推荐部门对本辖区申报项目的完整性和真实性应认真核实把关，对推荐的项目进行现场核实或委托县（区）科技管理部门现场核实，在“省级项目推荐模块”办理内部审核流程，上传项目现场调研核实意见表（请到“福建省科技计划项目管理信息系统”首页相关下载栏目中下载），并进行网上推荐。</w:t>
      </w:r>
    </w:p>
    <w:p w14:paraId="328DC096">
      <w:pPr>
        <w:wordWrap w:val="0"/>
        <w:spacing w:line="400" w:lineRule="exact"/>
        <w:ind w:firstLine="640" w:firstLineChars="200"/>
        <w:rPr>
          <w:rFonts w:ascii="仿宋_GB2312"/>
        </w:rPr>
      </w:pPr>
      <w:r>
        <w:rPr>
          <w:rFonts w:hint="eastAsia" w:ascii="仿宋_GB2312"/>
        </w:rPr>
        <w:t>（三）由推荐单位对推荐项目在本地区（或高校和省直有关单位内）进行公示，公示内容包括项目名称、申报单位、项目负责人姓名、团队（法人）科技特派员名称、科技特派员派出单位、对接单位名称、项目成效及推广应用情况、申请补助经费等。凡存在异议的项目，在异议未妥善处理之前，不予推荐。</w:t>
      </w:r>
    </w:p>
    <w:p w14:paraId="65298133">
      <w:pPr>
        <w:wordWrap w:val="0"/>
        <w:spacing w:line="400" w:lineRule="exact"/>
        <w:ind w:firstLine="640" w:firstLineChars="200"/>
        <w:rPr>
          <w:rFonts w:ascii="仿宋_GB2312"/>
        </w:rPr>
      </w:pPr>
      <w:r>
        <w:rPr>
          <w:rFonts w:hint="eastAsia" w:ascii="仿宋_GB2312"/>
        </w:rPr>
        <w:t>（四）通过推荐单位审查的项目，由申报单位通过项目管理系统在线打印项目申请书，与相关附件佐证材料装订成册（要求按照申报指南的第二大点相关佐证顺序装订）并逐级签章。推荐单位将项目申请书、推荐函、推荐汇总表、项目现场调研核实意见表（请到“福建省科技计划项目管理信息系统”首页相关下载栏目中下载）一式一份寄送省科技厅星火办。推荐汇总表电子版发送至</w:t>
      </w:r>
      <w:r>
        <w:t>87884327@fjinfo.org.cn</w:t>
      </w:r>
      <w:r>
        <w:rPr>
          <w:rFonts w:hint="eastAsia" w:ascii="仿宋_GB2312"/>
        </w:rPr>
        <w:t>。</w:t>
      </w:r>
    </w:p>
    <w:p w14:paraId="222C9EF8">
      <w:pPr>
        <w:widowControl/>
        <w:snapToGrid w:val="0"/>
        <w:spacing w:line="600" w:lineRule="exact"/>
        <w:ind w:firstLine="640"/>
        <w:rPr>
          <w:rFonts w:ascii="黑体" w:hAnsi="黑体" w:eastAsia="黑体" w:cs="黑体"/>
          <w:kern w:val="0"/>
        </w:rPr>
      </w:pPr>
      <w:r>
        <w:rPr>
          <w:rFonts w:hint="eastAsia" w:ascii="黑体" w:hAnsi="黑体" w:eastAsia="黑体" w:cs="黑体"/>
          <w:kern w:val="0"/>
        </w:rPr>
        <w:t>五、其他事项</w:t>
      </w:r>
    </w:p>
    <w:p w14:paraId="13E7D084">
      <w:pPr>
        <w:wordWrap w:val="0"/>
        <w:spacing w:line="400" w:lineRule="exact"/>
        <w:ind w:firstLine="640" w:firstLineChars="200"/>
        <w:rPr>
          <w:rFonts w:ascii="仿宋_GB2312"/>
        </w:rPr>
      </w:pPr>
      <w:r>
        <w:rPr>
          <w:rFonts w:hint="eastAsia" w:ascii="仿宋_GB2312"/>
        </w:rPr>
        <w:t>（一）我厅将组织专家对申请项目进行会议评审。对专家评审通过项目进行现场调研，同时聘请财务专家对投入经费的原始票据进行核查。</w:t>
      </w:r>
    </w:p>
    <w:p w14:paraId="5ED66019">
      <w:pPr>
        <w:wordWrap w:val="0"/>
        <w:spacing w:line="400" w:lineRule="exact"/>
        <w:ind w:firstLine="640" w:firstLineChars="200"/>
        <w:rPr>
          <w:rFonts w:ascii="仿宋_GB2312"/>
        </w:rPr>
      </w:pPr>
      <w:r>
        <w:rPr>
          <w:rFonts w:hint="eastAsia" w:ascii="仿宋_GB2312"/>
        </w:rPr>
        <w:t>（二）科技特派员后补助项目不需签订科技计划项目任务书，补助经费由承担单位统筹安排使用于科技特派员项目,承担单位应严格执行财务规章制度和会计核算办法，并主动接受财政、审计等部门的监督检查。</w:t>
      </w:r>
    </w:p>
    <w:p w14:paraId="01774130">
      <w:pPr>
        <w:widowControl/>
        <w:snapToGrid w:val="0"/>
        <w:spacing w:line="600" w:lineRule="exact"/>
        <w:ind w:firstLine="640"/>
        <w:rPr>
          <w:rFonts w:ascii="黑体" w:hAnsi="黑体" w:eastAsia="黑体" w:cs="黑体"/>
          <w:kern w:val="0"/>
        </w:rPr>
      </w:pPr>
      <w:r>
        <w:rPr>
          <w:rFonts w:hint="eastAsia" w:ascii="黑体" w:hAnsi="黑体" w:eastAsia="黑体" w:cs="黑体"/>
          <w:kern w:val="0"/>
        </w:rPr>
        <w:t>六、申报代码</w:t>
      </w:r>
    </w:p>
    <w:tbl>
      <w:tblPr>
        <w:tblStyle w:val="2"/>
        <w:tblW w:w="8880" w:type="dxa"/>
        <w:tblInd w:w="96" w:type="dxa"/>
        <w:tblLayout w:type="fixed"/>
        <w:tblCellMar>
          <w:top w:w="0" w:type="dxa"/>
          <w:left w:w="108" w:type="dxa"/>
          <w:bottom w:w="0" w:type="dxa"/>
          <w:right w:w="108" w:type="dxa"/>
        </w:tblCellMar>
      </w:tblPr>
      <w:tblGrid>
        <w:gridCol w:w="1255"/>
        <w:gridCol w:w="1440"/>
        <w:gridCol w:w="1540"/>
        <w:gridCol w:w="2948"/>
        <w:gridCol w:w="1697"/>
      </w:tblGrid>
      <w:tr w14:paraId="4BF5D128">
        <w:tblPrEx>
          <w:tblCellMar>
            <w:top w:w="0" w:type="dxa"/>
            <w:left w:w="108" w:type="dxa"/>
            <w:bottom w:w="0" w:type="dxa"/>
            <w:right w:w="108" w:type="dxa"/>
          </w:tblCellMar>
        </w:tblPrEx>
        <w:trPr>
          <w:trHeight w:val="935" w:hRule="atLeast"/>
        </w:trPr>
        <w:tc>
          <w:tcPr>
            <w:tcW w:w="1255" w:type="dxa"/>
            <w:tcBorders>
              <w:top w:val="single" w:color="auto" w:sz="4" w:space="0"/>
              <w:left w:val="single" w:color="auto" w:sz="4" w:space="0"/>
              <w:bottom w:val="single" w:color="auto" w:sz="4" w:space="0"/>
              <w:right w:val="single" w:color="auto" w:sz="4" w:space="0"/>
            </w:tcBorders>
            <w:noWrap w:val="0"/>
            <w:vAlign w:val="center"/>
          </w:tcPr>
          <w:p w14:paraId="57C28703">
            <w:pPr>
              <w:widowControl/>
              <w:adjustRightInd w:val="0"/>
              <w:snapToGrid w:val="0"/>
              <w:spacing w:line="400" w:lineRule="exact"/>
              <w:jc w:val="center"/>
              <w:rPr>
                <w:rFonts w:ascii="仿宋_GB2312" w:hAnsi="仿宋_GB2312" w:cs="仿宋_GB2312"/>
                <w:b/>
                <w:bCs/>
                <w:kern w:val="0"/>
                <w:sz w:val="28"/>
                <w:szCs w:val="28"/>
              </w:rPr>
            </w:pPr>
            <w:r>
              <w:rPr>
                <w:rFonts w:hint="eastAsia" w:ascii="仿宋_GB2312" w:hAnsi="仿宋_GB2312" w:cs="仿宋_GB2312"/>
                <w:b/>
                <w:bCs/>
                <w:kern w:val="0"/>
                <w:sz w:val="28"/>
                <w:szCs w:val="28"/>
              </w:rPr>
              <w:t>业务</w:t>
            </w:r>
          </w:p>
          <w:p w14:paraId="62B4A6D9">
            <w:pPr>
              <w:widowControl/>
              <w:adjustRightInd w:val="0"/>
              <w:snapToGrid w:val="0"/>
              <w:spacing w:line="400" w:lineRule="exact"/>
              <w:jc w:val="center"/>
              <w:rPr>
                <w:rFonts w:ascii="仿宋_GB2312" w:hAnsi="仿宋_GB2312" w:cs="仿宋_GB2312"/>
                <w:b/>
                <w:bCs/>
                <w:kern w:val="0"/>
                <w:sz w:val="28"/>
                <w:szCs w:val="28"/>
              </w:rPr>
            </w:pPr>
            <w:r>
              <w:rPr>
                <w:rFonts w:hint="eastAsia" w:ascii="仿宋_GB2312" w:hAnsi="仿宋_GB2312" w:cs="仿宋_GB2312"/>
                <w:b/>
                <w:bCs/>
                <w:kern w:val="0"/>
                <w:sz w:val="28"/>
                <w:szCs w:val="28"/>
              </w:rPr>
              <w:t>处室</w:t>
            </w:r>
          </w:p>
        </w:tc>
        <w:tc>
          <w:tcPr>
            <w:tcW w:w="1440" w:type="dxa"/>
            <w:tcBorders>
              <w:top w:val="single" w:color="auto" w:sz="4" w:space="0"/>
              <w:left w:val="nil"/>
              <w:bottom w:val="single" w:color="auto" w:sz="4" w:space="0"/>
              <w:right w:val="single" w:color="auto" w:sz="4" w:space="0"/>
            </w:tcBorders>
            <w:noWrap w:val="0"/>
            <w:vAlign w:val="center"/>
          </w:tcPr>
          <w:p w14:paraId="5540BC87">
            <w:pPr>
              <w:widowControl/>
              <w:adjustRightInd w:val="0"/>
              <w:snapToGrid w:val="0"/>
              <w:spacing w:line="400" w:lineRule="exact"/>
              <w:jc w:val="center"/>
              <w:rPr>
                <w:rFonts w:ascii="仿宋_GB2312" w:hAnsi="仿宋_GB2312" w:cs="仿宋_GB2312"/>
                <w:b/>
                <w:bCs/>
                <w:kern w:val="0"/>
                <w:sz w:val="28"/>
                <w:szCs w:val="28"/>
              </w:rPr>
            </w:pPr>
            <w:r>
              <w:rPr>
                <w:rFonts w:hint="eastAsia" w:ascii="仿宋_GB2312" w:hAnsi="仿宋_GB2312" w:cs="仿宋_GB2312"/>
                <w:b/>
                <w:bCs/>
                <w:kern w:val="0"/>
                <w:sz w:val="28"/>
                <w:szCs w:val="28"/>
              </w:rPr>
              <w:t>计划类别</w:t>
            </w:r>
          </w:p>
        </w:tc>
        <w:tc>
          <w:tcPr>
            <w:tcW w:w="1540" w:type="dxa"/>
            <w:tcBorders>
              <w:top w:val="single" w:color="auto" w:sz="4" w:space="0"/>
              <w:left w:val="nil"/>
              <w:bottom w:val="single" w:color="auto" w:sz="4" w:space="0"/>
              <w:right w:val="single" w:color="auto" w:sz="4" w:space="0"/>
            </w:tcBorders>
            <w:noWrap w:val="0"/>
            <w:vAlign w:val="center"/>
          </w:tcPr>
          <w:p w14:paraId="4A394902">
            <w:pPr>
              <w:widowControl/>
              <w:adjustRightInd w:val="0"/>
              <w:snapToGrid w:val="0"/>
              <w:spacing w:line="400" w:lineRule="exact"/>
              <w:jc w:val="center"/>
              <w:rPr>
                <w:rFonts w:ascii="仿宋_GB2312" w:hAnsi="仿宋_GB2312" w:cs="仿宋_GB2312"/>
                <w:b/>
                <w:bCs/>
                <w:kern w:val="0"/>
                <w:sz w:val="28"/>
                <w:szCs w:val="28"/>
              </w:rPr>
            </w:pPr>
            <w:r>
              <w:rPr>
                <w:rFonts w:hint="eastAsia" w:ascii="仿宋_GB2312" w:hAnsi="仿宋_GB2312" w:cs="仿宋_GB2312"/>
                <w:b/>
                <w:bCs/>
                <w:kern w:val="0"/>
                <w:sz w:val="28"/>
                <w:szCs w:val="28"/>
              </w:rPr>
              <w:t>项目类型</w:t>
            </w:r>
          </w:p>
        </w:tc>
        <w:tc>
          <w:tcPr>
            <w:tcW w:w="2948" w:type="dxa"/>
            <w:tcBorders>
              <w:top w:val="single" w:color="auto" w:sz="4" w:space="0"/>
              <w:left w:val="nil"/>
              <w:bottom w:val="single" w:color="auto" w:sz="4" w:space="0"/>
              <w:right w:val="single" w:color="auto" w:sz="4" w:space="0"/>
            </w:tcBorders>
            <w:noWrap w:val="0"/>
            <w:vAlign w:val="center"/>
          </w:tcPr>
          <w:p w14:paraId="5E436450">
            <w:pPr>
              <w:widowControl/>
              <w:adjustRightInd w:val="0"/>
              <w:snapToGrid w:val="0"/>
              <w:spacing w:line="400" w:lineRule="exact"/>
              <w:jc w:val="center"/>
              <w:rPr>
                <w:rFonts w:ascii="仿宋_GB2312" w:hAnsi="仿宋_GB2312" w:cs="仿宋_GB2312"/>
                <w:b/>
                <w:bCs/>
                <w:kern w:val="0"/>
                <w:sz w:val="28"/>
                <w:szCs w:val="28"/>
              </w:rPr>
            </w:pPr>
            <w:r>
              <w:rPr>
                <w:rFonts w:hint="eastAsia" w:ascii="仿宋_GB2312" w:hAnsi="仿宋_GB2312" w:cs="仿宋_GB2312"/>
                <w:b/>
                <w:bCs/>
                <w:kern w:val="0"/>
                <w:sz w:val="28"/>
                <w:szCs w:val="28"/>
              </w:rPr>
              <w:t>优先主题</w:t>
            </w:r>
          </w:p>
        </w:tc>
        <w:tc>
          <w:tcPr>
            <w:tcW w:w="1697" w:type="dxa"/>
            <w:tcBorders>
              <w:top w:val="single" w:color="auto" w:sz="4" w:space="0"/>
              <w:left w:val="nil"/>
              <w:bottom w:val="single" w:color="auto" w:sz="4" w:space="0"/>
              <w:right w:val="single" w:color="auto" w:sz="4" w:space="0"/>
            </w:tcBorders>
            <w:noWrap w:val="0"/>
            <w:vAlign w:val="center"/>
          </w:tcPr>
          <w:p w14:paraId="0AE82BF6">
            <w:pPr>
              <w:widowControl/>
              <w:adjustRightInd w:val="0"/>
              <w:snapToGrid w:val="0"/>
              <w:spacing w:line="400" w:lineRule="exact"/>
              <w:jc w:val="center"/>
              <w:rPr>
                <w:rFonts w:ascii="仿宋_GB2312" w:hAnsi="仿宋_GB2312" w:cs="仿宋_GB2312"/>
                <w:b/>
                <w:bCs/>
                <w:kern w:val="0"/>
                <w:sz w:val="28"/>
                <w:szCs w:val="28"/>
              </w:rPr>
            </w:pPr>
            <w:r>
              <w:rPr>
                <w:rFonts w:hint="eastAsia" w:ascii="仿宋_GB2312" w:hAnsi="仿宋_GB2312" w:cs="仿宋_GB2312"/>
                <w:b/>
                <w:bCs/>
                <w:kern w:val="0"/>
                <w:sz w:val="28"/>
                <w:szCs w:val="28"/>
              </w:rPr>
              <w:t>代码</w:t>
            </w:r>
          </w:p>
        </w:tc>
      </w:tr>
      <w:tr w14:paraId="47C75E61">
        <w:tblPrEx>
          <w:tblCellMar>
            <w:top w:w="0" w:type="dxa"/>
            <w:left w:w="108" w:type="dxa"/>
            <w:bottom w:w="0" w:type="dxa"/>
            <w:right w:w="108" w:type="dxa"/>
          </w:tblCellMar>
        </w:tblPrEx>
        <w:trPr>
          <w:trHeight w:val="1409" w:hRule="atLeast"/>
        </w:trPr>
        <w:tc>
          <w:tcPr>
            <w:tcW w:w="1255" w:type="dxa"/>
            <w:tcBorders>
              <w:top w:val="single" w:color="auto" w:sz="4" w:space="0"/>
              <w:left w:val="single" w:color="auto" w:sz="4" w:space="0"/>
              <w:bottom w:val="single" w:color="auto" w:sz="4" w:space="0"/>
              <w:right w:val="single" w:color="auto" w:sz="4" w:space="0"/>
            </w:tcBorders>
            <w:noWrap w:val="0"/>
            <w:vAlign w:val="center"/>
          </w:tcPr>
          <w:p w14:paraId="3F7700A9">
            <w:pPr>
              <w:adjustRightInd w:val="0"/>
              <w:snapToGrid w:val="0"/>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星火计划办公室</w:t>
            </w:r>
          </w:p>
        </w:tc>
        <w:tc>
          <w:tcPr>
            <w:tcW w:w="1440" w:type="dxa"/>
            <w:tcBorders>
              <w:top w:val="single" w:color="auto" w:sz="4" w:space="0"/>
              <w:left w:val="nil"/>
              <w:bottom w:val="single" w:color="auto" w:sz="4" w:space="0"/>
              <w:right w:val="single" w:color="auto" w:sz="4" w:space="0"/>
            </w:tcBorders>
            <w:noWrap w:val="0"/>
            <w:vAlign w:val="center"/>
          </w:tcPr>
          <w:p w14:paraId="0F46B812">
            <w:pPr>
              <w:adjustRightInd w:val="0"/>
              <w:snapToGrid w:val="0"/>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产业技术开发与应用计划</w:t>
            </w:r>
          </w:p>
        </w:tc>
        <w:tc>
          <w:tcPr>
            <w:tcW w:w="1540" w:type="dxa"/>
            <w:tcBorders>
              <w:top w:val="single" w:color="auto" w:sz="4" w:space="0"/>
              <w:left w:val="nil"/>
              <w:bottom w:val="single" w:color="auto" w:sz="4" w:space="0"/>
              <w:right w:val="single" w:color="auto" w:sz="4" w:space="0"/>
            </w:tcBorders>
            <w:noWrap w:val="0"/>
            <w:vAlign w:val="center"/>
          </w:tcPr>
          <w:p w14:paraId="21830583">
            <w:pPr>
              <w:widowControl/>
              <w:adjustRightInd w:val="0"/>
              <w:snapToGrid w:val="0"/>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省级科技特派员后补助项目</w:t>
            </w:r>
          </w:p>
        </w:tc>
        <w:tc>
          <w:tcPr>
            <w:tcW w:w="2948" w:type="dxa"/>
            <w:tcBorders>
              <w:top w:val="single" w:color="auto" w:sz="4" w:space="0"/>
              <w:left w:val="nil"/>
              <w:bottom w:val="single" w:color="auto" w:sz="4" w:space="0"/>
              <w:right w:val="single" w:color="auto" w:sz="4" w:space="0"/>
            </w:tcBorders>
            <w:noWrap w:val="0"/>
            <w:vAlign w:val="center"/>
          </w:tcPr>
          <w:p w14:paraId="033395FA">
            <w:pPr>
              <w:widowControl/>
              <w:adjustRightInd w:val="0"/>
              <w:snapToGrid w:val="0"/>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团队（法人）科技特派员后补助项目</w:t>
            </w:r>
          </w:p>
        </w:tc>
        <w:tc>
          <w:tcPr>
            <w:tcW w:w="1697" w:type="dxa"/>
            <w:tcBorders>
              <w:top w:val="single" w:color="auto" w:sz="4" w:space="0"/>
              <w:left w:val="nil"/>
              <w:bottom w:val="single" w:color="auto" w:sz="4" w:space="0"/>
              <w:right w:val="single" w:color="auto" w:sz="4" w:space="0"/>
            </w:tcBorders>
            <w:noWrap w:val="0"/>
            <w:vAlign w:val="center"/>
          </w:tcPr>
          <w:p w14:paraId="5074293A">
            <w:pPr>
              <w:widowControl/>
              <w:adjustRightInd w:val="0"/>
              <w:snapToGrid w:val="0"/>
              <w:spacing w:line="400" w:lineRule="exact"/>
              <w:jc w:val="center"/>
              <w:rPr>
                <w:rFonts w:ascii="仿宋_GB2312" w:hAnsi="仿宋_GB2312" w:cs="仿宋_GB2312"/>
                <w:kern w:val="0"/>
                <w:sz w:val="28"/>
                <w:szCs w:val="28"/>
              </w:rPr>
            </w:pPr>
            <w:r>
              <w:rPr>
                <w:rFonts w:hint="eastAsia" w:ascii="仿宋_GB2312" w:hAnsi="仿宋_GB2312" w:cs="仿宋_GB2312"/>
                <w:kern w:val="0"/>
                <w:sz w:val="28"/>
                <w:szCs w:val="28"/>
              </w:rPr>
              <w:t>2025S2101</w:t>
            </w:r>
          </w:p>
        </w:tc>
      </w:tr>
    </w:tbl>
    <w:p w14:paraId="4C820526">
      <w:pPr>
        <w:spacing w:line="600" w:lineRule="exact"/>
        <w:ind w:firstLine="636"/>
        <w:rPr>
          <w:rFonts w:ascii="仿宋_GB2312" w:hAnsi="仿宋_GB2312" w:cs="仿宋_GB2312"/>
          <w:kern w:val="0"/>
        </w:rPr>
      </w:pPr>
      <w:r>
        <w:rPr>
          <w:rFonts w:hint="eastAsia" w:ascii="黑体" w:hAnsi="黑体" w:eastAsia="黑体" w:cs="黑体"/>
          <w:kern w:val="0"/>
        </w:rPr>
        <w:t xml:space="preserve">七、相关附表格式 </w:t>
      </w:r>
    </w:p>
    <w:p w14:paraId="2349FD05">
      <w:pPr>
        <w:wordWrap w:val="0"/>
        <w:spacing w:line="400" w:lineRule="exact"/>
        <w:ind w:firstLine="640" w:firstLineChars="200"/>
        <w:rPr>
          <w:rFonts w:ascii="仿宋_GB2312"/>
        </w:rPr>
      </w:pPr>
      <w:r>
        <w:rPr>
          <w:rFonts w:hint="eastAsia" w:ascii="仿宋_GB2312"/>
        </w:rPr>
        <w:t>请到：福建省科技计划项目管理信息系统首页相关下载栏目中下载。（</w:t>
      </w:r>
      <w:r>
        <w:fldChar w:fldCharType="begin"/>
      </w:r>
      <w:r>
        <w:instrText xml:space="preserve"> HYPERLINK "http://xmgl.kjt.fujian.gov.cn/" </w:instrText>
      </w:r>
      <w:r>
        <w:fldChar w:fldCharType="separate"/>
      </w:r>
      <w:r>
        <w:t>http://xmgl.kjt.fujian.gov.cn/</w:t>
      </w:r>
      <w:r>
        <w:fldChar w:fldCharType="end"/>
      </w:r>
      <w:r>
        <w:t>fj.do</w:t>
      </w:r>
      <w:r>
        <w:rPr>
          <w:rFonts w:hint="eastAsia" w:ascii="仿宋_GB2312"/>
        </w:rPr>
        <w:t>）。</w:t>
      </w:r>
    </w:p>
    <w:p w14:paraId="68BC50CB">
      <w:pPr>
        <w:wordWrap w:val="0"/>
        <w:spacing w:line="400" w:lineRule="exact"/>
        <w:rPr>
          <w:rFonts w:ascii="仿宋_GB2312" w:hAnsi="仿宋_GB2312" w:cs="仿宋_GB2312"/>
        </w:rPr>
      </w:pPr>
    </w:p>
    <w:p w14:paraId="378AE8B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方正舒体"/>
    <w:panose1 w:val="00000000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332F6B"/>
    <w:rsid w:val="11332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2025-01-10T14:12:00Z</dcterms:created>
  <dc:creator>十二</dc:creator>
  <cp:lastModifiedBy>十二</cp:lastModifiedBy>
  <dcterms:modified xsi:type="dcterms:W3CDTF">2025-01-10T14:13:01Z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3E8E6D9D12F74EEE9625E5D4854DF5AA_11</vt:lpwstr>
  </property>
  <property fmtid="{D5CDD505-2E9C-101B-9397-08002B2CF9AE}" pid="4" name="KSOTemplateDocerSaveRecord">
    <vt:lpwstr>eyJoZGlkIjoiMGFjYTFkODQ1MWYyNmY0NzE5YTA4NTJmODJhNWM1NWQiLCJ1c2VySWQiOiIxMzg3MjgzNzg3In0=</vt:lpwstr>
  </property>
</Properties>
</file>